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DF0D4F" w:rsidP="00832415" w:rsidRDefault="00DF0D4F" w14:paraId="27DFE0AE" w14:textId="77777777">
      <w:pPr>
        <w:spacing w:line="480" w:lineRule="auto"/>
        <w:jc w:val="center"/>
        <w:rPr>
          <w:rFonts w:ascii="Times New Roman" w:hAnsi="Times New Roman" w:eastAsia="Times New Roman" w:cs="Times New Roman"/>
          <w:b/>
        </w:rPr>
      </w:pPr>
    </w:p>
    <w:p w:rsidR="00AC57EC" w:rsidP="00832415" w:rsidRDefault="00AC57EC" w14:paraId="7FE972CF" w14:textId="77777777">
      <w:pPr>
        <w:spacing w:line="480" w:lineRule="auto"/>
        <w:jc w:val="center"/>
        <w:rPr>
          <w:rFonts w:ascii="Times New Roman" w:hAnsi="Times New Roman" w:eastAsia="Times New Roman" w:cs="Times New Roman"/>
          <w:b/>
        </w:rPr>
      </w:pPr>
    </w:p>
    <w:p w:rsidR="00AC57EC" w:rsidP="00832415" w:rsidRDefault="00AC57EC" w14:paraId="56A3274E" w14:textId="77777777">
      <w:pPr>
        <w:spacing w:line="480" w:lineRule="auto"/>
        <w:jc w:val="center"/>
        <w:rPr>
          <w:rFonts w:ascii="Times New Roman" w:hAnsi="Times New Roman" w:eastAsia="Times New Roman" w:cs="Times New Roman"/>
          <w:b/>
        </w:rPr>
      </w:pPr>
    </w:p>
    <w:p w:rsidR="00AC57EC" w:rsidP="00832415" w:rsidRDefault="00AC57EC" w14:paraId="2AC2EC7F" w14:textId="77777777">
      <w:pPr>
        <w:spacing w:line="480" w:lineRule="auto"/>
        <w:jc w:val="center"/>
        <w:rPr>
          <w:rFonts w:ascii="Times New Roman" w:hAnsi="Times New Roman" w:eastAsia="Times New Roman" w:cs="Times New Roman"/>
          <w:b/>
        </w:rPr>
      </w:pPr>
    </w:p>
    <w:p w:rsidRPr="00832415" w:rsidR="00AC57EC" w:rsidP="00832415" w:rsidRDefault="00AC57EC" w14:paraId="3C04E494" w14:textId="77777777">
      <w:pPr>
        <w:spacing w:line="480" w:lineRule="auto"/>
        <w:jc w:val="center"/>
        <w:rPr>
          <w:rFonts w:ascii="Times New Roman" w:hAnsi="Times New Roman" w:eastAsia="Times New Roman" w:cs="Times New Roman"/>
          <w:b/>
        </w:rPr>
      </w:pPr>
    </w:p>
    <w:p w:rsidRPr="00832415" w:rsidR="00DF0D4F" w:rsidP="00832415" w:rsidRDefault="00DF0D4F" w14:paraId="7365C179" w14:textId="77777777">
      <w:pPr>
        <w:spacing w:line="480" w:lineRule="auto"/>
        <w:jc w:val="center"/>
        <w:rPr>
          <w:rFonts w:ascii="Times New Roman" w:hAnsi="Times New Roman" w:eastAsia="Times New Roman" w:cs="Times New Roman"/>
          <w:b/>
        </w:rPr>
      </w:pPr>
    </w:p>
    <w:p w:rsidRPr="00832415" w:rsidR="00DF0D4F" w:rsidP="00832415" w:rsidRDefault="00DF0D4F" w14:paraId="4D937C48" w14:textId="77777777">
      <w:pPr>
        <w:spacing w:line="480" w:lineRule="auto"/>
        <w:jc w:val="center"/>
        <w:rPr>
          <w:rFonts w:ascii="Times New Roman" w:hAnsi="Times New Roman" w:eastAsia="Times New Roman" w:cs="Times New Roman"/>
          <w:b/>
        </w:rPr>
      </w:pPr>
    </w:p>
    <w:p w:rsidRPr="00832415" w:rsidR="009806BC" w:rsidP="00832415" w:rsidRDefault="009806BC" w14:paraId="6FF16FB9" w14:textId="4723AD62">
      <w:pPr>
        <w:spacing w:line="480" w:lineRule="auto"/>
        <w:jc w:val="center"/>
        <w:rPr>
          <w:rFonts w:ascii="Times New Roman" w:hAnsi="Times New Roman" w:eastAsia="Times New Roman" w:cs="Times New Roman"/>
        </w:rPr>
      </w:pPr>
      <w:r w:rsidRPr="53E14822">
        <w:rPr>
          <w:rFonts w:ascii="Times New Roman" w:hAnsi="Times New Roman" w:eastAsia="Times New Roman" w:cs="Times New Roman"/>
          <w:b/>
        </w:rPr>
        <w:t xml:space="preserve">Team Strategic Planning Paper </w:t>
      </w:r>
      <w:r w:rsidRPr="53E14822" w:rsidR="2E70CECD">
        <w:rPr>
          <w:rFonts w:ascii="Times New Roman" w:hAnsi="Times New Roman" w:eastAsia="Times New Roman" w:cs="Times New Roman"/>
          <w:b/>
        </w:rPr>
        <w:t>–</w:t>
      </w:r>
      <w:r w:rsidRPr="53E14822">
        <w:rPr>
          <w:rFonts w:ascii="Times New Roman" w:hAnsi="Times New Roman" w:eastAsia="Times New Roman" w:cs="Times New Roman"/>
          <w:b/>
        </w:rPr>
        <w:t xml:space="preserve"> </w:t>
      </w:r>
      <w:r w:rsidRPr="53E14822" w:rsidR="00A3703B">
        <w:rPr>
          <w:rFonts w:ascii="Times New Roman" w:hAnsi="Times New Roman" w:eastAsia="Times New Roman" w:cs="Times New Roman"/>
          <w:b/>
        </w:rPr>
        <w:t>3</w:t>
      </w:r>
    </w:p>
    <w:p w:rsidR="2A093BD1" w:rsidP="2A093BD1" w:rsidRDefault="2A093BD1" w14:paraId="053FA7A9" w14:textId="2CC69EB7">
      <w:pPr>
        <w:spacing w:line="480" w:lineRule="auto"/>
        <w:jc w:val="center"/>
        <w:rPr>
          <w:rFonts w:ascii="Times New Roman" w:hAnsi="Times New Roman" w:eastAsia="Times New Roman" w:cs="Times New Roman"/>
          <w:b/>
        </w:rPr>
      </w:pPr>
    </w:p>
    <w:p w:rsidR="235DF6E4" w:rsidP="235DF6E4" w:rsidRDefault="235DF6E4" w14:paraId="1DEE838D" w14:textId="5EB8C4D4">
      <w:pPr>
        <w:spacing w:line="480" w:lineRule="auto"/>
        <w:jc w:val="center"/>
        <w:rPr>
          <w:rFonts w:ascii="Times New Roman" w:hAnsi="Times New Roman" w:eastAsia="Times New Roman" w:cs="Times New Roman"/>
          <w:b/>
        </w:rPr>
      </w:pPr>
    </w:p>
    <w:p w:rsidRPr="00832415" w:rsidR="009806BC" w:rsidP="00832415" w:rsidRDefault="009806BC" w14:paraId="1C57F0D7" w14:textId="69705BA3">
      <w:pPr>
        <w:spacing w:line="480" w:lineRule="auto"/>
        <w:jc w:val="center"/>
        <w:rPr>
          <w:rFonts w:ascii="Times New Roman" w:hAnsi="Times New Roman" w:eastAsia="Times New Roman" w:cs="Times New Roman"/>
        </w:rPr>
      </w:pPr>
    </w:p>
    <w:p w:rsidRPr="00832415" w:rsidR="009806BC" w:rsidP="00832415" w:rsidRDefault="009806BC" w14:paraId="74BF197B" w14:textId="218B1032">
      <w:pPr>
        <w:spacing w:line="480" w:lineRule="auto"/>
        <w:jc w:val="center"/>
        <w:rPr>
          <w:rFonts w:ascii="Times New Roman" w:hAnsi="Times New Roman" w:eastAsia="Times New Roman" w:cs="Times New Roman"/>
        </w:rPr>
      </w:pPr>
      <w:r w:rsidRPr="53E14822">
        <w:rPr>
          <w:rFonts w:ascii="Times New Roman" w:hAnsi="Times New Roman" w:eastAsia="Times New Roman" w:cs="Times New Roman"/>
        </w:rPr>
        <w:t xml:space="preserve">Team 6 </w:t>
      </w:r>
      <w:r w:rsidRPr="53E14822" w:rsidR="00497D6B">
        <w:rPr>
          <w:rFonts w:ascii="Times New Roman" w:hAnsi="Times New Roman" w:eastAsia="Times New Roman" w:cs="Times New Roman"/>
        </w:rPr>
        <w:t>-</w:t>
      </w:r>
      <w:r w:rsidRPr="53E14822">
        <w:rPr>
          <w:rFonts w:ascii="Times New Roman" w:hAnsi="Times New Roman" w:eastAsia="Times New Roman" w:cs="Times New Roman"/>
        </w:rPr>
        <w:t xml:space="preserve"> </w:t>
      </w:r>
      <w:r w:rsidRPr="53E14822" w:rsidR="004A4729">
        <w:rPr>
          <w:rFonts w:ascii="Times New Roman" w:hAnsi="Times New Roman" w:eastAsia="Times New Roman" w:cs="Times New Roman"/>
        </w:rPr>
        <w:t>Clarity Collective</w:t>
      </w:r>
    </w:p>
    <w:p w:rsidRPr="00832415" w:rsidR="009806BC" w:rsidP="00832415" w:rsidRDefault="009806BC" w14:paraId="6241786C" w14:textId="224D9FF7">
      <w:pPr>
        <w:spacing w:line="480" w:lineRule="auto"/>
        <w:jc w:val="center"/>
        <w:rPr>
          <w:rFonts w:ascii="Times New Roman" w:hAnsi="Times New Roman" w:eastAsia="Times New Roman" w:cs="Times New Roman"/>
        </w:rPr>
      </w:pPr>
      <w:r w:rsidRPr="53E14822">
        <w:rPr>
          <w:rFonts w:ascii="Times New Roman" w:hAnsi="Times New Roman" w:eastAsia="Times New Roman" w:cs="Times New Roman"/>
        </w:rPr>
        <w:t>Stephanie Butler, Everett Harris, Joseph Mandeville, and John Tshani</w:t>
      </w:r>
    </w:p>
    <w:p w:rsidRPr="00832415" w:rsidR="009806BC" w:rsidP="00832415" w:rsidRDefault="009806BC" w14:paraId="04B5A0ED" w14:textId="16FE946F">
      <w:pPr>
        <w:spacing w:line="480" w:lineRule="auto"/>
        <w:jc w:val="center"/>
        <w:rPr>
          <w:rFonts w:ascii="Times New Roman" w:hAnsi="Times New Roman" w:eastAsia="Times New Roman" w:cs="Times New Roman"/>
        </w:rPr>
      </w:pPr>
      <w:r w:rsidRPr="53E14822">
        <w:rPr>
          <w:rFonts w:ascii="Times New Roman" w:hAnsi="Times New Roman" w:eastAsia="Times New Roman" w:cs="Times New Roman"/>
        </w:rPr>
        <w:t>Public Images of Organizations, AIS-4018-001</w:t>
      </w:r>
    </w:p>
    <w:p w:rsidRPr="00832415" w:rsidR="009806BC" w:rsidP="00832415" w:rsidRDefault="009806BC" w14:paraId="46EB67D5" w14:textId="3F9127A9">
      <w:pPr>
        <w:spacing w:line="480" w:lineRule="auto"/>
        <w:jc w:val="center"/>
        <w:rPr>
          <w:rFonts w:ascii="Times New Roman" w:hAnsi="Times New Roman" w:eastAsia="Times New Roman" w:cs="Times New Roman"/>
        </w:rPr>
      </w:pPr>
      <w:r w:rsidRPr="53E14822">
        <w:rPr>
          <w:rFonts w:ascii="Times New Roman" w:hAnsi="Times New Roman" w:eastAsia="Times New Roman" w:cs="Times New Roman"/>
        </w:rPr>
        <w:t>Professor Patricia Friel</w:t>
      </w:r>
    </w:p>
    <w:p w:rsidRPr="00832415" w:rsidR="000109DD" w:rsidP="00832415" w:rsidRDefault="009806BC" w14:paraId="7A92CE7D" w14:textId="730E8291">
      <w:pPr>
        <w:spacing w:line="480" w:lineRule="auto"/>
        <w:jc w:val="center"/>
        <w:rPr>
          <w:rFonts w:ascii="Times New Roman" w:hAnsi="Times New Roman" w:eastAsia="Times New Roman" w:cs="Times New Roman"/>
        </w:rPr>
      </w:pPr>
      <w:r w:rsidRPr="53E14822">
        <w:rPr>
          <w:rFonts w:ascii="Times New Roman" w:hAnsi="Times New Roman" w:eastAsia="Times New Roman" w:cs="Times New Roman"/>
        </w:rPr>
        <w:t xml:space="preserve">November </w:t>
      </w:r>
      <w:r w:rsidRPr="53E14822" w:rsidR="53E14822">
        <w:rPr>
          <w:rFonts w:ascii="Times New Roman" w:hAnsi="Times New Roman" w:eastAsia="Times New Roman" w:cs="Times New Roman"/>
        </w:rPr>
        <w:t>17</w:t>
      </w:r>
      <w:r w:rsidRPr="53E14822">
        <w:rPr>
          <w:rFonts w:ascii="Times New Roman" w:hAnsi="Times New Roman" w:eastAsia="Times New Roman" w:cs="Times New Roman"/>
        </w:rPr>
        <w:t>, 2024</w:t>
      </w:r>
    </w:p>
    <w:p w:rsidRPr="00641EB2" w:rsidR="00641EB2" w:rsidP="53E14822" w:rsidRDefault="002C5E28" w14:paraId="2B630974" w14:textId="4A1215DE">
      <w:pPr>
        <w:spacing w:line="480" w:lineRule="auto"/>
        <w:jc w:val="center"/>
        <w:rPr>
          <w:rFonts w:ascii="Times New Roman" w:hAnsi="Times New Roman" w:eastAsia="Times New Roman" w:cs="Times New Roman"/>
          <w:b/>
          <w:bCs/>
        </w:rPr>
      </w:pPr>
      <w:r w:rsidRPr="53E14822">
        <w:rPr>
          <w:rFonts w:ascii="Times New Roman" w:hAnsi="Times New Roman" w:eastAsia="Times New Roman" w:cs="Times New Roman"/>
        </w:rPr>
        <w:br w:type="page"/>
      </w:r>
      <w:r w:rsidRPr="00641EB2" w:rsidR="00641EB2">
        <w:rPr>
          <w:rFonts w:ascii="Times New Roman" w:hAnsi="Times New Roman" w:eastAsia="Times New Roman" w:cs="Times New Roman"/>
          <w:b/>
          <w:bCs/>
        </w:rPr>
        <w:t>Microsoft: A Leader in Technology and Innovation</w:t>
      </w:r>
    </w:p>
    <w:p w:rsidRPr="00641EB2" w:rsidR="00641EB2" w:rsidP="00AC57EC" w:rsidRDefault="00641EB2" w14:paraId="496540C2" w14:textId="4746D516">
      <w:pPr>
        <w:spacing w:line="480" w:lineRule="auto"/>
        <w:ind w:firstLine="720"/>
        <w:rPr>
          <w:rFonts w:ascii="Times New Roman" w:hAnsi="Times New Roman" w:eastAsia="Times New Roman" w:cs="Times New Roman"/>
          <w:b/>
        </w:rPr>
      </w:pPr>
      <w:r w:rsidRPr="00641EB2">
        <w:rPr>
          <w:rFonts w:ascii="Times New Roman" w:hAnsi="Times New Roman" w:eastAsia="Times New Roman" w:cs="Times New Roman"/>
        </w:rPr>
        <w:t xml:space="preserve">Microsoft stands out as a global leader in technology, consistently demonstrating its commitment to innovation and excellence. Renowned for its extensive array of products and services—including Windows, Office, Azure, and Xbox—the company </w:t>
      </w:r>
      <w:r>
        <w:rPr>
          <w:rFonts w:ascii="Times New Roman" w:hAnsi="Times New Roman" w:eastAsia="Times New Roman" w:cs="Times New Roman"/>
        </w:rPr>
        <w:t>significantly influences</w:t>
      </w:r>
      <w:r w:rsidRPr="00641EB2">
        <w:rPr>
          <w:rFonts w:ascii="Times New Roman" w:hAnsi="Times New Roman" w:eastAsia="Times New Roman" w:cs="Times New Roman"/>
        </w:rPr>
        <w:t xml:space="preserve"> the future of technology. Recently, Microsoft has taken encouraging steps to enhance its sustainability initiatives and foster digital inclusion. A notable aspect of this recent focus is its ambitious goal to reduce carbon footprint and achieve carbon negativity by 2030. This proactive and constructive approach </w:t>
      </w:r>
      <w:r>
        <w:rPr>
          <w:rFonts w:ascii="Times New Roman" w:hAnsi="Times New Roman" w:eastAsia="Times New Roman" w:cs="Times New Roman"/>
        </w:rPr>
        <w:t>addresses pressing environmental challenges and</w:t>
      </w:r>
      <w:r w:rsidRPr="00641EB2">
        <w:rPr>
          <w:rFonts w:ascii="Times New Roman" w:hAnsi="Times New Roman" w:eastAsia="Times New Roman" w:cs="Times New Roman"/>
        </w:rPr>
        <w:t xml:space="preserve"> reinforces Microsoft’s dedication to corporate social responsibility, positioning the company as a positive force for change in the tech industry.</w:t>
      </w:r>
    </w:p>
    <w:p w:rsidRPr="00641EB2" w:rsidR="00641EB2" w:rsidP="53E14822" w:rsidRDefault="00641EB2" w14:paraId="2DBFE355" w14:textId="76AD884C">
      <w:pPr>
        <w:spacing w:line="480" w:lineRule="auto"/>
        <w:jc w:val="center"/>
        <w:rPr>
          <w:rFonts w:ascii="Times New Roman" w:hAnsi="Times New Roman" w:eastAsia="Times New Roman" w:cs="Times New Roman"/>
          <w:b/>
          <w:bCs/>
        </w:rPr>
      </w:pPr>
      <w:r w:rsidRPr="00641EB2">
        <w:rPr>
          <w:rFonts w:ascii="Times New Roman" w:hAnsi="Times New Roman" w:eastAsia="Times New Roman" w:cs="Times New Roman"/>
          <w:b/>
          <w:bCs/>
        </w:rPr>
        <w:t>Budget Allocation for PR Campaigns</w:t>
      </w:r>
    </w:p>
    <w:p w:rsidRPr="00641EB2" w:rsidR="00641EB2" w:rsidP="00AC57EC" w:rsidRDefault="00641EB2" w14:paraId="3034FD55" w14:textId="5F3D2430">
      <w:pPr>
        <w:spacing w:line="480" w:lineRule="auto"/>
        <w:ind w:firstLine="720"/>
        <w:rPr>
          <w:rFonts w:ascii="Times New Roman" w:hAnsi="Times New Roman" w:eastAsia="Times New Roman" w:cs="Times New Roman"/>
        </w:rPr>
      </w:pPr>
      <w:r w:rsidRPr="00641EB2">
        <w:rPr>
          <w:rFonts w:ascii="Times New Roman" w:hAnsi="Times New Roman" w:eastAsia="Times New Roman" w:cs="Times New Roman"/>
        </w:rPr>
        <w:t>Effective PR campaigns require a carefully structured budget to allocate all necessary resources appropriately. The budget can be divided into two primary categories: staff time and out-of-pocket (OOP) expenses. Typically, staff time may account for approximately 70% of the overall budget, predominantly due to agency billing practices, although in-house practices may differ. OOP expenses cover essential collateral materials that facilitate the campaign's execution. This includes items such as news releases, media kits, brochures, and video content production. Additional costs may include transportation, website programming, special events, event catering, and supplies. It is prudent to set aside about 10% of the budget for contingencies, accommodating any unexpected costs during the campaign.</w:t>
      </w:r>
    </w:p>
    <w:p w:rsidRPr="00641EB2" w:rsidR="00641EB2" w:rsidP="00641EB2" w:rsidRDefault="00641EB2" w14:paraId="3D70BF50" w14:textId="77777777">
      <w:pPr>
        <w:spacing w:line="480" w:lineRule="auto"/>
        <w:jc w:val="center"/>
        <w:rPr>
          <w:rFonts w:ascii="Times New Roman" w:hAnsi="Times New Roman" w:eastAsia="Times New Roman" w:cs="Times New Roman"/>
          <w:b/>
          <w:bCs/>
        </w:rPr>
      </w:pPr>
      <w:r w:rsidRPr="00641EB2">
        <w:rPr>
          <w:rFonts w:ascii="Times New Roman" w:hAnsi="Times New Roman" w:eastAsia="Times New Roman" w:cs="Times New Roman"/>
          <w:b/>
          <w:bCs/>
        </w:rPr>
        <w:t>Understanding Cost Generation in Strategic Planning</w:t>
      </w:r>
    </w:p>
    <w:p w:rsidRPr="00641EB2" w:rsidR="00641EB2" w:rsidP="00AC57EC" w:rsidRDefault="00641EB2" w14:paraId="2FA6954B" w14:textId="42084F42">
      <w:pPr>
        <w:spacing w:line="480" w:lineRule="auto"/>
        <w:ind w:firstLine="720"/>
        <w:rPr>
          <w:rFonts w:ascii="Times New Roman" w:hAnsi="Times New Roman" w:eastAsia="Times New Roman" w:cs="Times New Roman"/>
        </w:rPr>
      </w:pPr>
      <w:r w:rsidRPr="00641EB2">
        <w:rPr>
          <w:rFonts w:ascii="Times New Roman" w:hAnsi="Times New Roman" w:eastAsia="Times New Roman" w:cs="Times New Roman"/>
        </w:rPr>
        <w:t xml:space="preserve">In the context of strategic planning projects, </w:t>
      </w:r>
      <w:r w:rsidR="00AC57EC">
        <w:rPr>
          <w:rFonts w:ascii="Times New Roman" w:hAnsi="Times New Roman" w:eastAsia="Times New Roman" w:cs="Times New Roman"/>
        </w:rPr>
        <w:t>clarifying your employer's expectations regarding budget allocations is essential</w:t>
      </w:r>
      <w:r w:rsidRPr="00641EB2">
        <w:rPr>
          <w:rFonts w:ascii="Times New Roman" w:hAnsi="Times New Roman" w:eastAsia="Times New Roman" w:cs="Times New Roman"/>
        </w:rPr>
        <w:t>. Employers may request a proposed budget based on their assessment of your project, which could be derived from previous budgets or anticipated expenses. Alternatively, they may assign a fixed amount for you to work within the project's framework.</w:t>
      </w:r>
    </w:p>
    <w:p w:rsidRPr="00641EB2" w:rsidR="00641EB2" w:rsidP="00641EB2" w:rsidRDefault="00641EB2" w14:paraId="24BA3D2F" w14:textId="7B87896E">
      <w:pPr>
        <w:spacing w:line="480" w:lineRule="auto"/>
        <w:ind w:firstLine="720"/>
        <w:rPr>
          <w:rFonts w:ascii="Times New Roman" w:hAnsi="Times New Roman" w:eastAsia="Times New Roman" w:cs="Times New Roman"/>
        </w:rPr>
      </w:pPr>
      <w:r w:rsidRPr="00641EB2">
        <w:rPr>
          <w:rFonts w:ascii="Times New Roman" w:hAnsi="Times New Roman" w:eastAsia="Times New Roman" w:cs="Times New Roman"/>
        </w:rPr>
        <w:t xml:space="preserve"> </w:t>
      </w:r>
      <w:r w:rsidR="006F4B80">
        <w:rPr>
          <w:rFonts w:ascii="Times New Roman" w:hAnsi="Times New Roman" w:eastAsia="Times New Roman" w:cs="Times New Roman"/>
        </w:rPr>
        <w:t>In this strategic planning project, we generate costs based on the estimated campaign needs</w:t>
      </w:r>
      <w:r w:rsidRPr="00641EB2">
        <w:rPr>
          <w:rFonts w:ascii="Times New Roman" w:hAnsi="Times New Roman" w:eastAsia="Times New Roman" w:cs="Times New Roman"/>
        </w:rPr>
        <w:t>. This approach allows for flexibility and ensures that all necessary expenses are covered. By creating a detailed budget, we can justify the allocation of funds and demonstrate the value of the public relations campaign to stakeholders.</w:t>
      </w:r>
    </w:p>
    <w:p w:rsidR="00641EB2" w:rsidP="00641EB2" w:rsidRDefault="00641EB2" w14:paraId="16C98347" w14:textId="7D13277D">
      <w:pPr>
        <w:spacing w:line="480" w:lineRule="auto"/>
        <w:ind w:firstLine="720"/>
        <w:rPr>
          <w:rFonts w:ascii="Times New Roman" w:hAnsi="Times New Roman" w:eastAsia="Times New Roman" w:cs="Times New Roman"/>
        </w:rPr>
      </w:pPr>
      <w:r w:rsidRPr="00641EB2">
        <w:rPr>
          <w:rFonts w:ascii="Times New Roman" w:hAnsi="Times New Roman" w:eastAsia="Times New Roman" w:cs="Times New Roman"/>
        </w:rPr>
        <w:t>In your specific strategic planning project, it is crucial to determine which scenario applies. Suppose the employer has established a budget based on past projects. In that case, it may encourage a more comprehensive approach to achieving overall objectives, allowing you to tailor your plan to maximize impact within the defined financial boundaries. Conversely, having the flexibility to propose a budget can foster creativity and resourcefulness in achieving campaign goals, allowing for adjustments based on perceived value and expected outcomes. Understanding this distinction is essential for aligning your project plan with your employer's expectations and effectively addressing any budget constraints</w:t>
      </w:r>
      <w:r w:rsidRPr="53E14822" w:rsidR="53E14822">
        <w:rPr>
          <w:rFonts w:ascii="Times New Roman" w:hAnsi="Times New Roman" w:eastAsia="Times New Roman" w:cs="Times New Roman"/>
        </w:rPr>
        <w:t>.</w:t>
      </w:r>
    </w:p>
    <w:p w:rsidR="52873A47" w:rsidP="52873A47" w:rsidRDefault="52873A47" w14:paraId="1D80B99E" w14:textId="0A61096D">
      <w:pPr>
        <w:spacing w:after="160" w:line="480" w:lineRule="auto"/>
        <w:jc w:val="center"/>
        <w:rPr>
          <w:rFonts w:ascii="Times New Roman" w:hAnsi="Times New Roman" w:eastAsia="Times New Roman" w:cs="Times New Roman"/>
          <w:b/>
        </w:rPr>
      </w:pPr>
      <w:r w:rsidRPr="52873A47">
        <w:rPr>
          <w:rFonts w:ascii="Times New Roman" w:hAnsi="Times New Roman" w:eastAsia="Times New Roman" w:cs="Times New Roman"/>
          <w:b/>
          <w:bCs/>
        </w:rPr>
        <w:t>Evaluation</w:t>
      </w:r>
    </w:p>
    <w:p w:rsidR="52873A47" w:rsidP="53E14822" w:rsidRDefault="52873A47" w14:paraId="644087E6" w14:textId="4BB4273C">
      <w:pPr>
        <w:spacing w:after="160" w:line="480" w:lineRule="auto"/>
        <w:ind w:firstLine="720"/>
        <w:rPr>
          <w:rFonts w:ascii="Times New Roman" w:hAnsi="Times New Roman" w:eastAsia="Times New Roman" w:cs="Times New Roman"/>
        </w:rPr>
      </w:pPr>
      <w:r w:rsidRPr="57A52E76" w:rsidR="57A52E76">
        <w:rPr>
          <w:rFonts w:ascii="Times New Roman" w:hAnsi="Times New Roman" w:eastAsia="Times New Roman" w:cs="Times New Roman"/>
        </w:rPr>
        <w:t>Evaluation is the key to any PR program’s success. Evaluation for this Microsoft campaign will ensure we achieve our goals and learn lessons to apply to subsequent campaigns. Effective evaluation methods emphasize quantifiable outcomes, trust, and compatibility with campaign initiatives.</w:t>
      </w:r>
    </w:p>
    <w:p w:rsidR="52873A47" w:rsidP="52873A47" w:rsidRDefault="52873A47" w14:paraId="3A661A81" w14:textId="1B1D55EA">
      <w:pPr>
        <w:spacing w:after="160" w:line="480" w:lineRule="auto"/>
        <w:rPr>
          <w:rFonts w:ascii="Times New Roman" w:hAnsi="Times New Roman" w:eastAsia="Times New Roman" w:cs="Times New Roman"/>
        </w:rPr>
      </w:pPr>
      <w:r w:rsidRPr="52873A47">
        <w:rPr>
          <w:rFonts w:ascii="Times New Roman" w:hAnsi="Times New Roman" w:eastAsia="Times New Roman" w:cs="Times New Roman"/>
          <w:b/>
          <w:bCs/>
        </w:rPr>
        <w:t>Publicity:</w:t>
      </w:r>
      <w:r w:rsidRPr="52873A47">
        <w:rPr>
          <w:rFonts w:ascii="Times New Roman" w:hAnsi="Times New Roman" w:eastAsia="Times New Roman" w:cs="Times New Roman"/>
        </w:rPr>
        <w:t xml:space="preserve"> Evaluate how much and how well the media reports are being produced. You can use mention tracking software, such as Meltwater or Cision, to analyze sentiment, reach, and mentions. Did major media outlets publish the campaign?</w:t>
      </w:r>
    </w:p>
    <w:p w:rsidR="57A52E76" w:rsidP="57A52E76" w:rsidRDefault="57A52E76" w14:paraId="69516193" w14:textId="2B5077CB">
      <w:pPr>
        <w:spacing w:after="160" w:line="480" w:lineRule="auto"/>
        <w:rPr>
          <w:rFonts w:ascii="Times New Roman" w:hAnsi="Times New Roman" w:eastAsia="Times New Roman" w:cs="Times New Roman"/>
        </w:rPr>
      </w:pPr>
      <w:r w:rsidRPr="57A52E76" w:rsidR="57A52E76">
        <w:rPr>
          <w:rFonts w:ascii="Times New Roman" w:hAnsi="Times New Roman" w:eastAsia="Times New Roman" w:cs="Times New Roman"/>
          <w:b w:val="1"/>
          <w:bCs w:val="1"/>
        </w:rPr>
        <w:t>Engagement:</w:t>
      </w:r>
      <w:r w:rsidRPr="57A52E76" w:rsidR="57A52E76">
        <w:rPr>
          <w:rFonts w:ascii="Times New Roman" w:hAnsi="Times New Roman" w:eastAsia="Times New Roman" w:cs="Times New Roman"/>
        </w:rPr>
        <w:t xml:space="preserve"> Calculate social media impressions, likes, shares, comments, and click-through rates. Examine them against the industry standard to determine whether they resonate with the audience. </w:t>
      </w:r>
      <w:r w:rsidRPr="57A52E76" w:rsidR="57A52E76">
        <w:rPr>
          <w:rFonts w:ascii="Times New Roman" w:hAnsi="Times New Roman" w:eastAsia="Times New Roman" w:cs="Times New Roman"/>
          <w:noProof w:val="0"/>
          <w:sz w:val="24"/>
          <w:szCs w:val="24"/>
          <w:lang w:val="en-US"/>
        </w:rPr>
        <w:t>Evaluate the campaign’s effectiveness in raising awareness about Microsoft’s community initiatives and sustainability goals among the target audience. Use social media metrics (likes, shares, impressions) and attendance rates at Community Tech Day events to gauge interest and engagement levels. Social media metrics are critical for tracking awareness and engagement, as outlined in a Forbes article on using data to evaluate PR campaigns.</w:t>
      </w:r>
    </w:p>
    <w:p w:rsidR="57A52E76" w:rsidP="57A52E76" w:rsidRDefault="57A52E76" w14:paraId="36E3A48E" w14:textId="0E2B1D49">
      <w:pPr>
        <w:pStyle w:val="Normal"/>
        <w:spacing w:line="480" w:lineRule="auto"/>
        <w:rPr>
          <w:rFonts w:ascii="Times New Roman" w:hAnsi="Times New Roman" w:eastAsia="Times New Roman" w:cs="Times New Roman"/>
          <w:b w:val="1"/>
          <w:bCs w:val="1"/>
        </w:rPr>
      </w:pPr>
      <w:r w:rsidRPr="57A52E76" w:rsidR="57A52E76">
        <w:rPr>
          <w:rFonts w:ascii="Times New Roman" w:hAnsi="Times New Roman" w:eastAsia="Times New Roman" w:cs="Times New Roman"/>
          <w:b w:val="1"/>
          <w:bCs w:val="1"/>
          <w:noProof w:val="0"/>
          <w:sz w:val="24"/>
          <w:szCs w:val="24"/>
          <w:lang w:val="en-US"/>
        </w:rPr>
        <w:t xml:space="preserve">Assess Behavioral Impact: </w:t>
      </w:r>
      <w:r w:rsidRPr="57A52E76" w:rsidR="57A52E76">
        <w:rPr>
          <w:rFonts w:ascii="Times New Roman" w:hAnsi="Times New Roman" w:eastAsia="Times New Roman" w:cs="Times New Roman"/>
          <w:noProof w:val="0"/>
          <w:sz w:val="24"/>
          <w:szCs w:val="24"/>
          <w:lang w:val="en-US"/>
        </w:rPr>
        <w:t>Track changes in behavior or attitudes toward digital literacy and sustainability. This includes</w:t>
      </w:r>
      <w:r w:rsidRPr="57A52E76" w:rsidR="57A52E76">
        <w:rPr>
          <w:rFonts w:ascii="Times New Roman" w:hAnsi="Times New Roman" w:eastAsia="Times New Roman" w:cs="Times New Roman"/>
          <w:noProof w:val="0"/>
          <w:sz w:val="24"/>
          <w:szCs w:val="24"/>
          <w:lang w:val="en-US"/>
        </w:rPr>
        <w:t xml:space="preserve"> participation in digital literacy programs, increased inquiries from SMEs about Microsoft’s sustainability tools, and feedback collected via post-event surveys. </w:t>
      </w:r>
    </w:p>
    <w:p w:rsidR="52873A47" w:rsidP="52873A47" w:rsidRDefault="52873A47" w14:paraId="668E4465" w14:textId="5291F90D">
      <w:pPr>
        <w:spacing w:after="160" w:line="480" w:lineRule="auto"/>
        <w:rPr>
          <w:rFonts w:ascii="Times New Roman" w:hAnsi="Times New Roman" w:eastAsia="Times New Roman" w:cs="Times New Roman"/>
        </w:rPr>
      </w:pPr>
      <w:r w:rsidRPr="52873A47">
        <w:rPr>
          <w:rFonts w:ascii="Times New Roman" w:hAnsi="Times New Roman" w:eastAsia="Times New Roman" w:cs="Times New Roman"/>
          <w:b/>
          <w:bCs/>
        </w:rPr>
        <w:t>Pingability:</w:t>
      </w:r>
      <w:r w:rsidRPr="52873A47">
        <w:rPr>
          <w:rFonts w:ascii="Times New Roman" w:hAnsi="Times New Roman" w:eastAsia="Times New Roman" w:cs="Times New Roman"/>
        </w:rPr>
        <w:t xml:space="preserve"> Using surveys or focus groups to see if messages (such as Microsoft’s sustainability or inclusivity objectives) got through to people.</w:t>
      </w:r>
    </w:p>
    <w:p w:rsidR="52873A47" w:rsidP="52873A47" w:rsidRDefault="52873A47" w14:paraId="3A5835F7" w14:textId="2C585BEC">
      <w:pPr>
        <w:spacing w:after="160" w:line="480" w:lineRule="auto"/>
        <w:rPr>
          <w:rFonts w:ascii="Times New Roman" w:hAnsi="Times New Roman" w:eastAsia="Times New Roman" w:cs="Times New Roman"/>
        </w:rPr>
      </w:pPr>
      <w:r w:rsidRPr="52873A47">
        <w:rPr>
          <w:rFonts w:ascii="Times New Roman" w:hAnsi="Times New Roman" w:eastAsia="Times New Roman" w:cs="Times New Roman"/>
          <w:b/>
          <w:bCs/>
        </w:rPr>
        <w:t xml:space="preserve">Stakeholder Feedback: </w:t>
      </w:r>
      <w:r w:rsidRPr="52873A47">
        <w:rPr>
          <w:rFonts w:ascii="Times New Roman" w:hAnsi="Times New Roman" w:eastAsia="Times New Roman" w:cs="Times New Roman"/>
        </w:rPr>
        <w:t>Gather input from partners and customers as well as internal and external stakeholders to fine-tune future plans.</w:t>
      </w:r>
    </w:p>
    <w:p w:rsidR="52873A47" w:rsidP="52873A47" w:rsidRDefault="52873A47" w14:paraId="0631E2E4" w14:textId="3395F1A1">
      <w:pPr>
        <w:spacing w:after="160" w:line="480" w:lineRule="auto"/>
        <w:rPr>
          <w:rFonts w:ascii="Times New Roman" w:hAnsi="Times New Roman" w:eastAsia="Times New Roman" w:cs="Times New Roman"/>
        </w:rPr>
      </w:pPr>
      <w:r w:rsidRPr="57A52E76" w:rsidR="57A52E76">
        <w:rPr>
          <w:rFonts w:ascii="Times New Roman" w:hAnsi="Times New Roman" w:eastAsia="Times New Roman" w:cs="Times New Roman"/>
          <w:b w:val="1"/>
          <w:bCs w:val="1"/>
        </w:rPr>
        <w:t xml:space="preserve">Sales and Conversions: </w:t>
      </w:r>
      <w:r w:rsidRPr="57A52E76" w:rsidR="57A52E76">
        <w:rPr>
          <w:rFonts w:ascii="Times New Roman" w:hAnsi="Times New Roman" w:eastAsia="Times New Roman" w:cs="Times New Roman"/>
        </w:rPr>
        <w:t>Determine how the campaign directly impacted sales or service use of products or services, especially in promotional times such as back-to-school or sustainability launches.</w:t>
      </w:r>
    </w:p>
    <w:p w:rsidR="52873A47" w:rsidP="52873A47" w:rsidRDefault="52873A47" w14:paraId="53D09C3B" w14:textId="05C3A000">
      <w:pPr>
        <w:spacing w:after="160" w:line="480" w:lineRule="auto"/>
        <w:rPr>
          <w:rFonts w:ascii="Times New Roman" w:hAnsi="Times New Roman" w:eastAsia="Times New Roman" w:cs="Times New Roman"/>
        </w:rPr>
      </w:pPr>
      <w:r w:rsidRPr="57A52E76" w:rsidR="57A52E76">
        <w:rPr>
          <w:rFonts w:ascii="Times New Roman" w:hAnsi="Times New Roman" w:eastAsia="Times New Roman" w:cs="Times New Roman"/>
          <w:b w:val="1"/>
          <w:bCs w:val="1"/>
        </w:rPr>
        <w:t xml:space="preserve">Event-Specific Metrics: </w:t>
      </w:r>
      <w:r w:rsidRPr="57A52E76" w:rsidR="57A52E76">
        <w:rPr>
          <w:rFonts w:ascii="Times New Roman" w:hAnsi="Times New Roman" w:eastAsia="Times New Roman" w:cs="Times New Roman"/>
        </w:rPr>
        <w:t>When holding events that are related to Digital Inclusion Month or Global Accessibility Awareness Day, measure turnout, participation, and post-event feedback. Getting registration numbers and monitor attendees’ satisfaction using follow-up questions.</w:t>
      </w:r>
    </w:p>
    <w:p w:rsidR="57A52E76" w:rsidP="57A52E76" w:rsidRDefault="57A52E76" w14:paraId="45FB4960" w14:textId="3B3B95CE">
      <w:pPr>
        <w:spacing w:after="160" w:line="480" w:lineRule="auto"/>
        <w:rPr>
          <w:rFonts w:ascii="Times New Roman" w:hAnsi="Times New Roman" w:eastAsia="Times New Roman" w:cs="Times New Roman"/>
          <w:b w:val="1"/>
          <w:bCs w:val="1"/>
        </w:rPr>
      </w:pPr>
      <w:r w:rsidRPr="57A52E76" w:rsidR="57A52E76">
        <w:rPr>
          <w:rFonts w:ascii="Times New Roman" w:hAnsi="Times New Roman" w:eastAsia="Times New Roman" w:cs="Times New Roman"/>
          <w:b w:val="1"/>
          <w:bCs w:val="1"/>
        </w:rPr>
        <w:t xml:space="preserve">Return on Investment (ROI): </w:t>
      </w:r>
      <w:r w:rsidRPr="57A52E76" w:rsidR="57A52E76">
        <w:rPr>
          <w:rFonts w:ascii="Times New Roman" w:hAnsi="Times New Roman" w:eastAsia="Times New Roman" w:cs="Times New Roman"/>
        </w:rPr>
        <w:t xml:space="preserve">Determine ROI by dividing the total cost of the campaign against the value of outcomes (earned media, sales, brand lift). Stakeholder buy-in requires demonstrating value through cost-effectiveness. Analyze the campaign's ROI by comparing the cost of the campaign to its outcomes, such as media mentions, community goodwill, and the value of earned media. Use tools like Meltwater to calculate ROI based on data collected during the campaign. According to </w:t>
      </w:r>
      <w:r w:rsidRPr="57A52E76" w:rsidR="57A52E76">
        <w:rPr>
          <w:rFonts w:ascii="Times New Roman" w:hAnsi="Times New Roman" w:eastAsia="Times New Roman" w:cs="Times New Roman"/>
          <w:i w:val="1"/>
          <w:iCs w:val="1"/>
          <w:noProof w:val="0"/>
          <w:sz w:val="24"/>
          <w:szCs w:val="24"/>
          <w:lang w:val="en-US"/>
        </w:rPr>
        <w:t>Entrepreneur Magazine</w:t>
      </w:r>
      <w:r w:rsidRPr="57A52E76" w:rsidR="57A52E76">
        <w:rPr>
          <w:rFonts w:ascii="Times New Roman" w:hAnsi="Times New Roman" w:eastAsia="Times New Roman" w:cs="Times New Roman"/>
          <w:noProof w:val="0"/>
          <w:sz w:val="24"/>
          <w:szCs w:val="24"/>
          <w:lang w:val="en-US"/>
        </w:rPr>
        <w:t>, ROI analysis is vital for determining the cost-effectiveness of PR campaigns and guiding future strategy.</w:t>
      </w:r>
    </w:p>
    <w:p w:rsidR="52873A47" w:rsidP="52873A47" w:rsidRDefault="33240C25" w14:paraId="0F6DE66D" w14:textId="182E10E0">
      <w:pPr>
        <w:spacing w:after="160" w:line="480" w:lineRule="auto"/>
        <w:rPr>
          <w:rFonts w:ascii="Times New Roman" w:hAnsi="Times New Roman" w:eastAsia="Times New Roman" w:cs="Times New Roman"/>
        </w:rPr>
      </w:pPr>
      <w:r w:rsidRPr="57A52E76" w:rsidR="57A52E76">
        <w:rPr>
          <w:rFonts w:ascii="Times New Roman" w:hAnsi="Times New Roman" w:eastAsia="Times New Roman" w:cs="Times New Roman"/>
          <w:b w:val="1"/>
          <w:bCs w:val="1"/>
        </w:rPr>
        <w:t xml:space="preserve">Objective Alignment: </w:t>
      </w:r>
      <w:r w:rsidRPr="57A52E76" w:rsidR="57A52E76">
        <w:rPr>
          <w:rFonts w:ascii="Times New Roman" w:hAnsi="Times New Roman" w:eastAsia="Times New Roman" w:cs="Times New Roman"/>
        </w:rPr>
        <w:t>Evaluating should be tied directly to the campaign’s goals (for example, if you want to raise awareness about Microsoft’s sustainability objectives by 20% or get 15% more digital inclusion program participants). By setting goals and targets, you make the results more concrete and actionable. Through these measurement methods, the success of the campaign is not only established but also helps drive ongoing improvements that help Microsoft stay at the forefront of innovation and corporate responsibility.</w:t>
      </w:r>
    </w:p>
    <w:p w:rsidR="33240C25" w:rsidP="33240C25" w:rsidRDefault="33240C25" w14:paraId="68C566D8" w14:textId="1524E8AC">
      <w:pPr>
        <w:spacing w:after="160" w:line="480" w:lineRule="auto"/>
        <w:jc w:val="center"/>
        <w:rPr>
          <w:rFonts w:ascii="Times New Roman" w:hAnsi="Times New Roman" w:eastAsia="Times New Roman" w:cs="Times New Roman"/>
        </w:rPr>
      </w:pPr>
      <w:r w:rsidRPr="33240C25">
        <w:rPr>
          <w:rFonts w:ascii="Times New Roman" w:hAnsi="Times New Roman" w:eastAsia="Times New Roman" w:cs="Times New Roman"/>
          <w:b/>
          <w:bCs/>
        </w:rPr>
        <w:t>Conclusion</w:t>
      </w:r>
    </w:p>
    <w:p w:rsidRPr="00641EB2" w:rsidR="00641EB2" w:rsidP="57A52E76" w:rsidRDefault="52873A47" w14:paraId="71BBC6C9" w14:textId="5DFF958A">
      <w:pPr>
        <w:spacing w:after="160" w:line="480" w:lineRule="auto"/>
        <w:ind w:firstLine="720"/>
        <w:rPr>
          <w:rFonts w:ascii="Times New Roman" w:hAnsi="Times New Roman" w:eastAsia="Times New Roman" w:cs="Times New Roman"/>
        </w:rPr>
      </w:pPr>
      <w:r w:rsidRPr="57A52E76" w:rsidR="57A52E76">
        <w:rPr>
          <w:rFonts w:ascii="Times New Roman" w:hAnsi="Times New Roman" w:eastAsia="Times New Roman" w:cs="Times New Roman"/>
        </w:rPr>
        <w:t>In conclusion, Microsoft Corporation’s ongoing commitment to sustainability and innovation serves as a powerful foundation for its public relations campaigns. By leveraging a well-structured budget, setting clear goals, and employing evaluation methods that are comprehensive, Microsoft Corporation can ensure that its public relations initiatives not only meet their objectives, but also continue to evolve and drive positive change. Microsoft Corporation can enhance its brand image and foster meaningful relationships with stakeholders by utilizing effective public relations efforts while upholding its responsibility to society and the environment. Through careful planning and the use of both qualitative and quantitative metrics, Microsoft Corporation will gain valuable insights that help refine future campaigns to ensure that it remains as a leader in technology.</w:t>
      </w:r>
    </w:p>
    <w:p w:rsidRPr="00641EB2" w:rsidR="00641EB2" w:rsidP="57A52E76" w:rsidRDefault="52873A47" w14:paraId="4D94794F" w14:textId="0C166A79">
      <w:pPr>
        <w:spacing w:after="160" w:line="480" w:lineRule="auto"/>
      </w:pPr>
      <w:r>
        <w:br w:type="page"/>
      </w:r>
    </w:p>
    <w:p w:rsidRPr="00641EB2" w:rsidR="00641EB2" w:rsidP="57A52E76" w:rsidRDefault="52873A47" w14:paraId="6C856CE5" w14:textId="743BAB5A">
      <w:pPr>
        <w:pStyle w:val="Normal"/>
        <w:spacing w:after="160" w:line="480" w:lineRule="auto"/>
        <w:ind w:firstLine="0"/>
        <w:jc w:val="center"/>
        <w:rPr>
          <w:rFonts w:ascii="Times New Roman" w:hAnsi="Times New Roman" w:eastAsia="Times New Roman" w:cs="Times New Roman"/>
        </w:rPr>
      </w:pPr>
      <w:r w:rsidRPr="57A52E76" w:rsidR="57A52E76">
        <w:rPr>
          <w:rFonts w:ascii="Times New Roman" w:hAnsi="Times New Roman" w:eastAsia="Times New Roman" w:cs="Times New Roman"/>
          <w:b w:val="1"/>
          <w:bCs w:val="1"/>
        </w:rPr>
        <w:t>References</w:t>
      </w:r>
    </w:p>
    <w:p w:rsidRPr="00641EB2" w:rsidR="00E51AC5" w:rsidP="57A52E76" w:rsidRDefault="00174DDE" w14:paraId="48F05EF1" w14:textId="11552EFC">
      <w:pPr>
        <w:spacing w:before="0" w:beforeAutospacing="off" w:after="0" w:afterAutospacing="off" w:line="480" w:lineRule="auto"/>
        <w:ind w:left="720" w:right="0" w:hanging="720"/>
      </w:pPr>
      <w:r w:rsidRPr="57A52E76" w:rsidR="57A52E76">
        <w:rPr>
          <w:rFonts w:ascii="Times New Roman" w:hAnsi="Times New Roman" w:eastAsia="Times New Roman" w:cs="Times New Roman"/>
          <w:i w:val="1"/>
          <w:iCs w:val="1"/>
          <w:noProof w:val="0"/>
          <w:sz w:val="24"/>
          <w:szCs w:val="24"/>
          <w:lang w:val="en-US"/>
        </w:rPr>
        <w:t>Create positive impact on both wellbeing and productivity in the hybrid workplace – Microsoft News Center Hong Kong</w:t>
      </w:r>
      <w:r w:rsidRPr="57A52E76" w:rsidR="57A52E76">
        <w:rPr>
          <w:rFonts w:ascii="Times New Roman" w:hAnsi="Times New Roman" w:eastAsia="Times New Roman" w:cs="Times New Roman"/>
          <w:noProof w:val="0"/>
          <w:sz w:val="24"/>
          <w:szCs w:val="24"/>
          <w:lang w:val="en-US"/>
        </w:rPr>
        <w:t xml:space="preserve">. (2022, May 16). </w:t>
      </w:r>
      <w:hyperlink r:id="Rdf3d322f665d4905">
        <w:r w:rsidRPr="57A52E76" w:rsidR="57A52E76">
          <w:rPr>
            <w:rStyle w:val="Hyperlink"/>
            <w:rFonts w:ascii="Times New Roman" w:hAnsi="Times New Roman" w:eastAsia="Times New Roman" w:cs="Times New Roman"/>
            <w:noProof w:val="0"/>
            <w:sz w:val="24"/>
            <w:szCs w:val="24"/>
            <w:lang w:val="en-US"/>
          </w:rPr>
          <w:t>https://news.microsoft.com/en-hk/2022/05/16/create-positive-impact-on-both-wellbeing</w:t>
        </w:r>
      </w:hyperlink>
    </w:p>
    <w:p w:rsidRPr="00641EB2" w:rsidR="00E51AC5" w:rsidP="57A52E76" w:rsidRDefault="00174DDE" w14:paraId="27AEA1F7" w14:textId="1DEBE679">
      <w:pPr>
        <w:pStyle w:val="Normal"/>
        <w:spacing w:before="0" w:beforeAutospacing="off" w:after="0" w:afterAutospacing="off" w:line="480" w:lineRule="auto"/>
        <w:ind w:left="0"/>
        <w:rPr>
          <w:rFonts w:ascii="Times New Roman" w:hAnsi="Times New Roman" w:eastAsia="Times New Roman" w:cs="Times New Roman"/>
          <w:noProof w:val="0"/>
          <w:sz w:val="24"/>
          <w:szCs w:val="24"/>
          <w:lang w:val="en-US"/>
        </w:rPr>
      </w:pPr>
      <w:r w:rsidRPr="57A52E76" w:rsidR="57A52E76">
        <w:rPr>
          <w:rFonts w:ascii="Times New Roman" w:hAnsi="Times New Roman" w:eastAsia="Times New Roman" w:cs="Times New Roman"/>
          <w:noProof w:val="0"/>
          <w:sz w:val="24"/>
          <w:szCs w:val="24"/>
          <w:lang w:val="en-US"/>
        </w:rPr>
        <w:t xml:space="preserve">Forbes. (n.d.). </w:t>
      </w:r>
      <w:r w:rsidRPr="57A52E76" w:rsidR="57A52E76">
        <w:rPr>
          <w:rFonts w:ascii="Times New Roman" w:hAnsi="Times New Roman" w:eastAsia="Times New Roman" w:cs="Times New Roman"/>
          <w:i w:val="1"/>
          <w:iCs w:val="1"/>
          <w:noProof w:val="0"/>
          <w:sz w:val="24"/>
          <w:szCs w:val="24"/>
          <w:lang w:val="en-US"/>
        </w:rPr>
        <w:t>How to measure PR success: Tracking metrics that matter.</w:t>
      </w:r>
    </w:p>
    <w:p w:rsidRPr="00641EB2" w:rsidR="00E51AC5" w:rsidP="57A52E76" w:rsidRDefault="00174DDE" w14:paraId="5A19FD89" w14:textId="632F9CD9">
      <w:pPr>
        <w:spacing w:line="480" w:lineRule="auto"/>
        <w:ind/>
        <w:rPr>
          <w:rFonts w:ascii="Times New Roman" w:hAnsi="Times New Roman" w:eastAsia="Times New Roman" w:cs="Times New Roman"/>
        </w:rPr>
      </w:pPr>
      <w:r w:rsidRPr="57A52E76" w:rsidR="57A52E76">
        <w:rPr>
          <w:rFonts w:ascii="Times New Roman" w:hAnsi="Times New Roman" w:eastAsia="Times New Roman" w:cs="Times New Roman"/>
        </w:rPr>
        <w:t xml:space="preserve">Mahoney, J. (2023). </w:t>
      </w:r>
      <w:r w:rsidRPr="57A52E76" w:rsidR="57A52E76">
        <w:rPr>
          <w:rFonts w:ascii="Times New Roman" w:hAnsi="Times New Roman" w:eastAsia="Times New Roman" w:cs="Times New Roman"/>
          <w:i w:val="1"/>
          <w:iCs w:val="1"/>
        </w:rPr>
        <w:t>Strategic communication: Campaign planning</w:t>
      </w:r>
      <w:r w:rsidRPr="57A52E76" w:rsidR="57A52E76">
        <w:rPr>
          <w:rFonts w:ascii="Times New Roman" w:hAnsi="Times New Roman" w:eastAsia="Times New Roman" w:cs="Times New Roman"/>
        </w:rPr>
        <w:t>.</w:t>
      </w:r>
    </w:p>
    <w:p w:rsidRPr="00641EB2" w:rsidR="00E51AC5" w:rsidP="57A52E76" w:rsidRDefault="00174DDE" w14:paraId="7FDCD647" w14:textId="7CF11134">
      <w:pPr>
        <w:spacing w:before="0" w:beforeAutospacing="off" w:after="0" w:afterAutospacing="off" w:line="480" w:lineRule="auto"/>
        <w:ind w:left="720" w:right="0" w:hanging="720"/>
      </w:pPr>
      <w:r w:rsidRPr="57A52E76" w:rsidR="57A52E76">
        <w:rPr>
          <w:rFonts w:ascii="Times New Roman" w:hAnsi="Times New Roman" w:eastAsia="Times New Roman" w:cs="Times New Roman"/>
          <w:noProof w:val="0"/>
          <w:sz w:val="24"/>
          <w:szCs w:val="24"/>
          <w:lang w:val="en-US"/>
        </w:rPr>
        <w:t xml:space="preserve">Meltwater. (2024, May 13). PR Measurement Guide: 14 Must-Have PR KPIs and How to Track them. </w:t>
      </w:r>
      <w:r w:rsidRPr="57A52E76" w:rsidR="57A52E76">
        <w:rPr>
          <w:rFonts w:ascii="Times New Roman" w:hAnsi="Times New Roman" w:eastAsia="Times New Roman" w:cs="Times New Roman"/>
          <w:i w:val="1"/>
          <w:iCs w:val="1"/>
          <w:noProof w:val="0"/>
          <w:sz w:val="24"/>
          <w:szCs w:val="24"/>
          <w:lang w:val="en-US"/>
        </w:rPr>
        <w:t>Meltwater</w:t>
      </w:r>
      <w:r w:rsidRPr="57A52E76" w:rsidR="57A52E76">
        <w:rPr>
          <w:rFonts w:ascii="Times New Roman" w:hAnsi="Times New Roman" w:eastAsia="Times New Roman" w:cs="Times New Roman"/>
          <w:noProof w:val="0"/>
          <w:sz w:val="24"/>
          <w:szCs w:val="24"/>
          <w:lang w:val="en-US"/>
        </w:rPr>
        <w:t xml:space="preserve">. </w:t>
      </w:r>
      <w:hyperlink r:id="R9aadc5cc6dda44e6">
        <w:r w:rsidRPr="57A52E76" w:rsidR="57A52E76">
          <w:rPr>
            <w:rStyle w:val="Hyperlink"/>
            <w:rFonts w:ascii="Times New Roman" w:hAnsi="Times New Roman" w:eastAsia="Times New Roman" w:cs="Times New Roman"/>
            <w:noProof w:val="0"/>
            <w:sz w:val="24"/>
            <w:szCs w:val="24"/>
            <w:lang w:val="en-US"/>
          </w:rPr>
          <w:t>https://www.meltwater.com/en/blog/14-proven-pr-kpis-that-matter-and-how-to-track-them</w:t>
        </w:r>
      </w:hyperlink>
    </w:p>
    <w:p w:rsidRPr="00641EB2" w:rsidR="00E51AC5" w:rsidP="57A52E76" w:rsidRDefault="00174DDE" w14:paraId="155EA76E" w14:textId="23B17131">
      <w:pPr>
        <w:spacing w:line="480" w:lineRule="auto"/>
        <w:ind w:left="720" w:hanging="720"/>
        <w:rPr>
          <w:rFonts w:ascii="Times New Roman" w:hAnsi="Times New Roman" w:eastAsia="Times New Roman" w:cs="Times New Roman"/>
        </w:rPr>
      </w:pPr>
      <w:r w:rsidRPr="57A52E76" w:rsidR="57A52E76">
        <w:rPr>
          <w:rFonts w:ascii="Times New Roman" w:hAnsi="Times New Roman" w:eastAsia="Times New Roman" w:cs="Times New Roman"/>
        </w:rPr>
        <w:t xml:space="preserve">Milosevic, D., &amp; </w:t>
      </w:r>
      <w:proofErr w:type="spellStart"/>
      <w:r w:rsidRPr="57A52E76" w:rsidR="57A52E76">
        <w:rPr>
          <w:rFonts w:ascii="Times New Roman" w:hAnsi="Times New Roman" w:eastAsia="Times New Roman" w:cs="Times New Roman"/>
        </w:rPr>
        <w:t>Srivannaboon</w:t>
      </w:r>
      <w:proofErr w:type="spellEnd"/>
      <w:r w:rsidRPr="57A52E76" w:rsidR="57A52E76">
        <w:rPr>
          <w:rFonts w:ascii="Times New Roman" w:hAnsi="Times New Roman" w:eastAsia="Times New Roman" w:cs="Times New Roman"/>
        </w:rPr>
        <w:t xml:space="preserve">, S. (2006). </w:t>
      </w:r>
      <w:r w:rsidRPr="57A52E76" w:rsidR="57A52E76">
        <w:rPr>
          <w:rFonts w:ascii="Times New Roman" w:hAnsi="Times New Roman" w:eastAsia="Times New Roman" w:cs="Times New Roman"/>
          <w:i w:val="1"/>
          <w:iCs w:val="1"/>
        </w:rPr>
        <w:t>A theoretical framework for aligning project management with business strategy.</w:t>
      </w:r>
      <w:r w:rsidRPr="57A52E76" w:rsidR="57A52E76">
        <w:rPr>
          <w:rFonts w:ascii="Times New Roman" w:hAnsi="Times New Roman" w:eastAsia="Times New Roman" w:cs="Times New Roman"/>
        </w:rPr>
        <w:t xml:space="preserve"> Project Management Journal, 37(3), 98–110.</w:t>
      </w:r>
    </w:p>
    <w:p w:rsidRPr="00641EB2" w:rsidR="00E51AC5" w:rsidP="57A52E76" w:rsidRDefault="00174DDE" w14:paraId="25D79461" w14:textId="32B33C18">
      <w:pPr>
        <w:pStyle w:val="Normal"/>
        <w:spacing w:line="480" w:lineRule="auto"/>
        <w:ind w:left="720" w:hanging="720"/>
        <w:rPr>
          <w:rFonts w:ascii="Times New Roman" w:hAnsi="Times New Roman" w:eastAsia="Times New Roman" w:cs="Times New Roman"/>
          <w:noProof w:val="0"/>
          <w:sz w:val="24"/>
          <w:szCs w:val="24"/>
          <w:lang w:val="en-US"/>
        </w:rPr>
      </w:pPr>
      <w:r w:rsidRPr="57A52E76" w:rsidR="57A52E76">
        <w:rPr>
          <w:rFonts w:ascii="Times New Roman" w:hAnsi="Times New Roman" w:eastAsia="Times New Roman" w:cs="Times New Roman"/>
          <w:noProof w:val="0"/>
          <w:sz w:val="24"/>
          <w:szCs w:val="24"/>
          <w:lang w:val="en-US"/>
        </w:rPr>
        <w:t xml:space="preserve">Public Relations Society of America. </w:t>
      </w:r>
      <w:r w:rsidRPr="57A52E76" w:rsidR="57A52E76">
        <w:rPr>
          <w:rFonts w:ascii="Times New Roman" w:hAnsi="Times New Roman" w:eastAsia="Times New Roman" w:cs="Times New Roman"/>
          <w:i w:val="1"/>
          <w:iCs w:val="1"/>
          <w:noProof w:val="0"/>
          <w:sz w:val="24"/>
          <w:szCs w:val="24"/>
          <w:lang w:val="en-US"/>
        </w:rPr>
        <w:t>Post-campaign evaluation: Techniques and tools.</w:t>
      </w:r>
      <w:r w:rsidRPr="57A52E76" w:rsidR="57A52E76">
        <w:rPr>
          <w:rFonts w:ascii="Times New Roman" w:hAnsi="Times New Roman" w:eastAsia="Times New Roman" w:cs="Times New Roman"/>
          <w:noProof w:val="0"/>
          <w:sz w:val="24"/>
          <w:szCs w:val="24"/>
          <w:lang w:val="en-US"/>
        </w:rPr>
        <w:t xml:space="preserve"> (n.d.). </w:t>
      </w:r>
      <w:hyperlink r:id="R0866bfe0614149c1">
        <w:r w:rsidRPr="57A52E76" w:rsidR="57A52E76">
          <w:rPr>
            <w:rStyle w:val="Hyperlink"/>
            <w:rFonts w:ascii="Times New Roman" w:hAnsi="Times New Roman" w:eastAsia="Times New Roman" w:cs="Times New Roman"/>
            <w:noProof w:val="0"/>
            <w:sz w:val="24"/>
            <w:szCs w:val="24"/>
            <w:lang w:val="en-US"/>
          </w:rPr>
          <w:t>https://www.prsa.org</w:t>
        </w:r>
      </w:hyperlink>
    </w:p>
    <w:p w:rsidRPr="00641EB2" w:rsidR="00E51AC5" w:rsidP="57A52E76" w:rsidRDefault="00174DDE" w14:paraId="3249AD71" w14:textId="5BFC3BA2">
      <w:pPr>
        <w:pStyle w:val="Normal"/>
        <w:spacing w:line="480" w:lineRule="auto"/>
        <w:ind w:left="720" w:hanging="720"/>
        <w:rPr>
          <w:rFonts w:ascii="Times New Roman" w:hAnsi="Times New Roman" w:eastAsia="Times New Roman" w:cs="Times New Roman"/>
        </w:rPr>
      </w:pPr>
      <w:r w:rsidRPr="57A52E76" w:rsidR="57A52E76">
        <w:rPr>
          <w:rFonts w:ascii="Times New Roman" w:hAnsi="Times New Roman" w:eastAsia="Times New Roman" w:cs="Times New Roman"/>
        </w:rPr>
        <w:t xml:space="preserve">Reeves, M., </w:t>
      </w:r>
      <w:proofErr w:type="spellStart"/>
      <w:r w:rsidRPr="57A52E76" w:rsidR="57A52E76">
        <w:rPr>
          <w:rFonts w:ascii="Times New Roman" w:hAnsi="Times New Roman" w:eastAsia="Times New Roman" w:cs="Times New Roman"/>
        </w:rPr>
        <w:t>Haanæs</w:t>
      </w:r>
      <w:proofErr w:type="spellEnd"/>
      <w:r w:rsidRPr="57A52E76" w:rsidR="57A52E76">
        <w:rPr>
          <w:rFonts w:ascii="Times New Roman" w:hAnsi="Times New Roman" w:eastAsia="Times New Roman" w:cs="Times New Roman"/>
        </w:rPr>
        <w:t xml:space="preserve">, K., &amp; Sinha, J. (2015). </w:t>
      </w:r>
      <w:r w:rsidRPr="57A52E76" w:rsidR="57A52E76">
        <w:rPr>
          <w:rFonts w:ascii="Times New Roman" w:hAnsi="Times New Roman" w:eastAsia="Times New Roman" w:cs="Times New Roman"/>
          <w:i w:val="1"/>
          <w:iCs w:val="1"/>
        </w:rPr>
        <w:t>Your strategy needs a strategy</w:t>
      </w:r>
      <w:r w:rsidRPr="57A52E76" w:rsidR="57A52E76">
        <w:rPr>
          <w:rFonts w:ascii="Times New Roman" w:hAnsi="Times New Roman" w:eastAsia="Times New Roman" w:cs="Times New Roman"/>
        </w:rPr>
        <w:t>.</w:t>
      </w:r>
    </w:p>
    <w:p w:rsidRPr="00641EB2" w:rsidR="00E51AC5" w:rsidP="00BD6B64" w:rsidRDefault="00174DDE" w14:paraId="5F5B8C6C" w14:textId="4828A468">
      <w:pPr>
        <w:spacing w:line="480" w:lineRule="auto"/>
        <w:ind w:left="720" w:hanging="720"/>
        <w:rPr>
          <w:rFonts w:ascii="Times New Roman" w:hAnsi="Times New Roman" w:eastAsia="Times New Roman" w:cs="Times New Roman"/>
        </w:rPr>
      </w:pPr>
      <w:proofErr w:type="spellStart"/>
      <w:r w:rsidRPr="57A52E76" w:rsidR="57A52E76">
        <w:rPr>
          <w:rFonts w:ascii="Times New Roman" w:hAnsi="Times New Roman" w:eastAsia="Times New Roman" w:cs="Times New Roman"/>
        </w:rPr>
        <w:t>Rounaghi</w:t>
      </w:r>
      <w:proofErr w:type="spellEnd"/>
      <w:r w:rsidRPr="57A52E76" w:rsidR="57A52E76">
        <w:rPr>
          <w:rFonts w:ascii="Times New Roman" w:hAnsi="Times New Roman" w:eastAsia="Times New Roman" w:cs="Times New Roman"/>
        </w:rPr>
        <w:t xml:space="preserve">, M. M., Jarrar, H., &amp; Dana, L.-P. (2021). </w:t>
      </w:r>
      <w:r w:rsidRPr="57A52E76" w:rsidR="57A52E76">
        <w:rPr>
          <w:rFonts w:ascii="Times New Roman" w:hAnsi="Times New Roman" w:eastAsia="Times New Roman" w:cs="Times New Roman"/>
          <w:i w:val="1"/>
          <w:iCs w:val="1"/>
        </w:rPr>
        <w:t>Implementation of strategic cost management in manufacturing companies: Overcoming costs stickiness and increasing corporate sustainability</w:t>
      </w:r>
      <w:r w:rsidRPr="57A52E76" w:rsidR="57A52E76">
        <w:rPr>
          <w:rFonts w:ascii="Times New Roman" w:hAnsi="Times New Roman" w:eastAsia="Times New Roman" w:cs="Times New Roman"/>
        </w:rPr>
        <w:t>. Future Business Journal, 7(31).</w:t>
      </w:r>
    </w:p>
    <w:sectPr w:rsidRPr="00641EB2" w:rsidR="00E51AC5">
      <w:headerReference w:type="even" r:id="rId7"/>
      <w:headerReference w:type="default" r:id="rId8"/>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D4080D" w:rsidP="009806BC" w:rsidRDefault="00D4080D" w14:paraId="27D6859E" w14:textId="77777777">
      <w:r>
        <w:separator/>
      </w:r>
    </w:p>
  </w:endnote>
  <w:endnote w:type="continuationSeparator" w:id="0">
    <w:p w:rsidR="00D4080D" w:rsidP="009806BC" w:rsidRDefault="00D4080D" w14:paraId="4449C1C0" w14:textId="77777777">
      <w:r>
        <w:continuationSeparator/>
      </w:r>
    </w:p>
  </w:endnote>
  <w:endnote w:type="continuationNotice" w:id="1">
    <w:p w:rsidR="00D4080D" w:rsidRDefault="00D4080D" w14:paraId="348FDD91"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D4080D" w:rsidP="009806BC" w:rsidRDefault="00D4080D" w14:paraId="1620AE09" w14:textId="77777777">
      <w:r>
        <w:separator/>
      </w:r>
    </w:p>
  </w:footnote>
  <w:footnote w:type="continuationSeparator" w:id="0">
    <w:p w:rsidR="00D4080D" w:rsidP="009806BC" w:rsidRDefault="00D4080D" w14:paraId="569D9165" w14:textId="77777777">
      <w:r>
        <w:continuationSeparator/>
      </w:r>
    </w:p>
  </w:footnote>
  <w:footnote w:type="continuationNotice" w:id="1">
    <w:p w:rsidR="00D4080D" w:rsidRDefault="00D4080D" w14:paraId="21ED4745"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415318424"/>
      <w:docPartObj>
        <w:docPartGallery w:val="Page Numbers (Top of Page)"/>
        <w:docPartUnique/>
      </w:docPartObj>
    </w:sdtPr>
    <w:sdtEndPr>
      <w:rPr>
        <w:rStyle w:val="PageNumber"/>
      </w:rPr>
    </w:sdtEndPr>
    <w:sdtContent>
      <w:p w:rsidR="009806BC" w:rsidRDefault="009806BC" w14:paraId="7E7FFA1B" w14:textId="4D055FF9">
        <w:pPr>
          <w:pStyle w:val="Head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9806BC" w:rsidP="009806BC" w:rsidRDefault="009806BC" w14:paraId="066000AB" w14:textId="7777777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rPr>
      <w:id w:val="-1824735818"/>
      <w:docPartObj>
        <w:docPartGallery w:val="Page Numbers (Top of Page)"/>
        <w:docPartUnique/>
      </w:docPartObj>
    </w:sdtPr>
    <w:sdtEndPr>
      <w:rPr>
        <w:rFonts w:ascii="Times New Roman" w:hAnsi="Times New Roman" w:cs="Times New Roman"/>
        <w:noProof/>
      </w:rPr>
    </w:sdtEndPr>
    <w:sdtContent>
      <w:p w:rsidRPr="009B6ED1" w:rsidR="009806BC" w:rsidP="00A81326" w:rsidRDefault="009B6ED1" w14:paraId="0BA4D088" w14:textId="37116324">
        <w:pPr>
          <w:pStyle w:val="Header"/>
          <w:spacing w:line="480" w:lineRule="auto"/>
          <w:jc w:val="right"/>
          <w:rPr>
            <w:rFonts w:ascii="Times New Roman" w:hAnsi="Times New Roman" w:cs="Times New Roman"/>
          </w:rPr>
        </w:pPr>
        <w:r w:rsidRPr="009B6ED1">
          <w:rPr>
            <w:rFonts w:ascii="Times New Roman" w:hAnsi="Times New Roman" w:cs="Times New Roman"/>
          </w:rPr>
          <w:fldChar w:fldCharType="begin"/>
        </w:r>
        <w:r w:rsidRPr="009B6ED1">
          <w:rPr>
            <w:rFonts w:ascii="Times New Roman" w:hAnsi="Times New Roman" w:cs="Times New Roman"/>
          </w:rPr>
          <w:instrText xml:space="preserve"> PAGE   \* MERGEFORMAT </w:instrText>
        </w:r>
        <w:r w:rsidRPr="009B6ED1">
          <w:rPr>
            <w:rFonts w:ascii="Times New Roman" w:hAnsi="Times New Roman" w:cs="Times New Roman"/>
          </w:rPr>
          <w:fldChar w:fldCharType="separate"/>
        </w:r>
        <w:r w:rsidRPr="009B6ED1">
          <w:rPr>
            <w:rFonts w:ascii="Times New Roman" w:hAnsi="Times New Roman" w:cs="Times New Roman"/>
            <w:noProof/>
          </w:rPr>
          <w:t>2</w:t>
        </w:r>
        <w:r w:rsidRPr="009B6ED1">
          <w:rPr>
            <w:rFonts w:ascii="Times New Roman" w:hAnsi="Times New Roman" w:cs="Times New Roman"/>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9">
    <w:nsid w:val="762e4ff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15D0B7DA"/>
    <w:multiLevelType w:val="hybridMultilevel"/>
    <w:tmpl w:val="E64A3C70"/>
    <w:lvl w:ilvl="0" w:tplc="16B69DE2">
      <w:start w:val="1"/>
      <w:numFmt w:val="bullet"/>
      <w:lvlText w:val=""/>
      <w:lvlJc w:val="left"/>
      <w:pPr>
        <w:ind w:left="720" w:hanging="360"/>
      </w:pPr>
      <w:rPr>
        <w:rFonts w:hint="default" w:ascii="Symbol" w:hAnsi="Symbol"/>
      </w:rPr>
    </w:lvl>
    <w:lvl w:ilvl="1" w:tplc="70ACE1A2">
      <w:start w:val="1"/>
      <w:numFmt w:val="bullet"/>
      <w:lvlText w:val="o"/>
      <w:lvlJc w:val="left"/>
      <w:pPr>
        <w:ind w:left="1440" w:hanging="360"/>
      </w:pPr>
      <w:rPr>
        <w:rFonts w:hint="default" w:ascii="Courier New" w:hAnsi="Courier New"/>
      </w:rPr>
    </w:lvl>
    <w:lvl w:ilvl="2" w:tplc="9110972A">
      <w:start w:val="1"/>
      <w:numFmt w:val="bullet"/>
      <w:lvlText w:val=""/>
      <w:lvlJc w:val="left"/>
      <w:pPr>
        <w:ind w:left="2160" w:hanging="360"/>
      </w:pPr>
      <w:rPr>
        <w:rFonts w:hint="default" w:ascii="Wingdings" w:hAnsi="Wingdings"/>
      </w:rPr>
    </w:lvl>
    <w:lvl w:ilvl="3" w:tplc="A976880C">
      <w:start w:val="1"/>
      <w:numFmt w:val="bullet"/>
      <w:lvlText w:val=""/>
      <w:lvlJc w:val="left"/>
      <w:pPr>
        <w:ind w:left="2880" w:hanging="360"/>
      </w:pPr>
      <w:rPr>
        <w:rFonts w:hint="default" w:ascii="Symbol" w:hAnsi="Symbol"/>
      </w:rPr>
    </w:lvl>
    <w:lvl w:ilvl="4" w:tplc="DD082720">
      <w:start w:val="1"/>
      <w:numFmt w:val="bullet"/>
      <w:lvlText w:val="o"/>
      <w:lvlJc w:val="left"/>
      <w:pPr>
        <w:ind w:left="3600" w:hanging="360"/>
      </w:pPr>
      <w:rPr>
        <w:rFonts w:hint="default" w:ascii="Courier New" w:hAnsi="Courier New"/>
      </w:rPr>
    </w:lvl>
    <w:lvl w:ilvl="5" w:tplc="838E75A8">
      <w:start w:val="1"/>
      <w:numFmt w:val="bullet"/>
      <w:lvlText w:val=""/>
      <w:lvlJc w:val="left"/>
      <w:pPr>
        <w:ind w:left="4320" w:hanging="360"/>
      </w:pPr>
      <w:rPr>
        <w:rFonts w:hint="default" w:ascii="Wingdings" w:hAnsi="Wingdings"/>
      </w:rPr>
    </w:lvl>
    <w:lvl w:ilvl="6" w:tplc="41B05F7C">
      <w:start w:val="1"/>
      <w:numFmt w:val="bullet"/>
      <w:lvlText w:val=""/>
      <w:lvlJc w:val="left"/>
      <w:pPr>
        <w:ind w:left="5040" w:hanging="360"/>
      </w:pPr>
      <w:rPr>
        <w:rFonts w:hint="default" w:ascii="Symbol" w:hAnsi="Symbol"/>
      </w:rPr>
    </w:lvl>
    <w:lvl w:ilvl="7" w:tplc="A028C44C">
      <w:start w:val="1"/>
      <w:numFmt w:val="bullet"/>
      <w:lvlText w:val="o"/>
      <w:lvlJc w:val="left"/>
      <w:pPr>
        <w:ind w:left="5760" w:hanging="360"/>
      </w:pPr>
      <w:rPr>
        <w:rFonts w:hint="default" w:ascii="Courier New" w:hAnsi="Courier New"/>
      </w:rPr>
    </w:lvl>
    <w:lvl w:ilvl="8" w:tplc="33989AF0">
      <w:start w:val="1"/>
      <w:numFmt w:val="bullet"/>
      <w:lvlText w:val=""/>
      <w:lvlJc w:val="left"/>
      <w:pPr>
        <w:ind w:left="6480" w:hanging="360"/>
      </w:pPr>
      <w:rPr>
        <w:rFonts w:hint="default" w:ascii="Wingdings" w:hAnsi="Wingdings"/>
      </w:rPr>
    </w:lvl>
  </w:abstractNum>
  <w:abstractNum w:abstractNumId="1" w15:restartNumberingAfterBreak="0">
    <w:nsid w:val="2D03CF73"/>
    <w:multiLevelType w:val="hybridMultilevel"/>
    <w:tmpl w:val="53C65EE0"/>
    <w:lvl w:ilvl="0" w:tplc="27D6BAD6">
      <w:start w:val="1"/>
      <w:numFmt w:val="bullet"/>
      <w:lvlText w:val="·"/>
      <w:lvlJc w:val="left"/>
      <w:pPr>
        <w:ind w:left="720" w:hanging="360"/>
      </w:pPr>
      <w:rPr>
        <w:rFonts w:hint="default" w:ascii="Symbol" w:hAnsi="Symbol"/>
      </w:rPr>
    </w:lvl>
    <w:lvl w:ilvl="1" w:tplc="17DA795E">
      <w:start w:val="1"/>
      <w:numFmt w:val="bullet"/>
      <w:lvlText w:val="o"/>
      <w:lvlJc w:val="left"/>
      <w:pPr>
        <w:ind w:left="1440" w:hanging="360"/>
      </w:pPr>
      <w:rPr>
        <w:rFonts w:hint="default" w:ascii="Courier New" w:hAnsi="Courier New"/>
      </w:rPr>
    </w:lvl>
    <w:lvl w:ilvl="2" w:tplc="7BE0A1B6">
      <w:start w:val="1"/>
      <w:numFmt w:val="bullet"/>
      <w:lvlText w:val=""/>
      <w:lvlJc w:val="left"/>
      <w:pPr>
        <w:ind w:left="2160" w:hanging="360"/>
      </w:pPr>
      <w:rPr>
        <w:rFonts w:hint="default" w:ascii="Wingdings" w:hAnsi="Wingdings"/>
      </w:rPr>
    </w:lvl>
    <w:lvl w:ilvl="3" w:tplc="5AC0F1CC">
      <w:start w:val="1"/>
      <w:numFmt w:val="bullet"/>
      <w:lvlText w:val=""/>
      <w:lvlJc w:val="left"/>
      <w:pPr>
        <w:ind w:left="2880" w:hanging="360"/>
      </w:pPr>
      <w:rPr>
        <w:rFonts w:hint="default" w:ascii="Symbol" w:hAnsi="Symbol"/>
      </w:rPr>
    </w:lvl>
    <w:lvl w:ilvl="4" w:tplc="A29A5EC8">
      <w:start w:val="1"/>
      <w:numFmt w:val="bullet"/>
      <w:lvlText w:val="o"/>
      <w:lvlJc w:val="left"/>
      <w:pPr>
        <w:ind w:left="3600" w:hanging="360"/>
      </w:pPr>
      <w:rPr>
        <w:rFonts w:hint="default" w:ascii="Courier New" w:hAnsi="Courier New"/>
      </w:rPr>
    </w:lvl>
    <w:lvl w:ilvl="5" w:tplc="816C94D2">
      <w:start w:val="1"/>
      <w:numFmt w:val="bullet"/>
      <w:lvlText w:val=""/>
      <w:lvlJc w:val="left"/>
      <w:pPr>
        <w:ind w:left="4320" w:hanging="360"/>
      </w:pPr>
      <w:rPr>
        <w:rFonts w:hint="default" w:ascii="Wingdings" w:hAnsi="Wingdings"/>
      </w:rPr>
    </w:lvl>
    <w:lvl w:ilvl="6" w:tplc="DB4217F2">
      <w:start w:val="1"/>
      <w:numFmt w:val="bullet"/>
      <w:lvlText w:val=""/>
      <w:lvlJc w:val="left"/>
      <w:pPr>
        <w:ind w:left="5040" w:hanging="360"/>
      </w:pPr>
      <w:rPr>
        <w:rFonts w:hint="default" w:ascii="Symbol" w:hAnsi="Symbol"/>
      </w:rPr>
    </w:lvl>
    <w:lvl w:ilvl="7" w:tplc="1E90CBF6">
      <w:start w:val="1"/>
      <w:numFmt w:val="bullet"/>
      <w:lvlText w:val="o"/>
      <w:lvlJc w:val="left"/>
      <w:pPr>
        <w:ind w:left="5760" w:hanging="360"/>
      </w:pPr>
      <w:rPr>
        <w:rFonts w:hint="default" w:ascii="Courier New" w:hAnsi="Courier New"/>
      </w:rPr>
    </w:lvl>
    <w:lvl w:ilvl="8" w:tplc="1D22E6B2">
      <w:start w:val="1"/>
      <w:numFmt w:val="bullet"/>
      <w:lvlText w:val=""/>
      <w:lvlJc w:val="left"/>
      <w:pPr>
        <w:ind w:left="6480" w:hanging="360"/>
      </w:pPr>
      <w:rPr>
        <w:rFonts w:hint="default" w:ascii="Wingdings" w:hAnsi="Wingdings"/>
      </w:rPr>
    </w:lvl>
  </w:abstractNum>
  <w:abstractNum w:abstractNumId="2" w15:restartNumberingAfterBreak="0">
    <w:nsid w:val="3C7FC957"/>
    <w:multiLevelType w:val="hybridMultilevel"/>
    <w:tmpl w:val="6400D194"/>
    <w:lvl w:ilvl="0" w:tplc="C4940B3A">
      <w:start w:val="1"/>
      <w:numFmt w:val="bullet"/>
      <w:lvlText w:val=""/>
      <w:lvlJc w:val="left"/>
      <w:pPr>
        <w:ind w:left="720" w:hanging="360"/>
      </w:pPr>
      <w:rPr>
        <w:rFonts w:hint="default" w:ascii="Symbol" w:hAnsi="Symbol"/>
      </w:rPr>
    </w:lvl>
    <w:lvl w:ilvl="1" w:tplc="EA16123E">
      <w:start w:val="1"/>
      <w:numFmt w:val="bullet"/>
      <w:lvlText w:val="o"/>
      <w:lvlJc w:val="left"/>
      <w:pPr>
        <w:ind w:left="1440" w:hanging="360"/>
      </w:pPr>
      <w:rPr>
        <w:rFonts w:hint="default" w:ascii="Courier New" w:hAnsi="Courier New"/>
      </w:rPr>
    </w:lvl>
    <w:lvl w:ilvl="2" w:tplc="19508EFC">
      <w:start w:val="1"/>
      <w:numFmt w:val="bullet"/>
      <w:lvlText w:val=""/>
      <w:lvlJc w:val="left"/>
      <w:pPr>
        <w:ind w:left="2160" w:hanging="360"/>
      </w:pPr>
      <w:rPr>
        <w:rFonts w:hint="default" w:ascii="Wingdings" w:hAnsi="Wingdings"/>
      </w:rPr>
    </w:lvl>
    <w:lvl w:ilvl="3" w:tplc="E7C03BE2">
      <w:start w:val="1"/>
      <w:numFmt w:val="bullet"/>
      <w:lvlText w:val=""/>
      <w:lvlJc w:val="left"/>
      <w:pPr>
        <w:ind w:left="2880" w:hanging="360"/>
      </w:pPr>
      <w:rPr>
        <w:rFonts w:hint="default" w:ascii="Symbol" w:hAnsi="Symbol"/>
      </w:rPr>
    </w:lvl>
    <w:lvl w:ilvl="4" w:tplc="A1F26EF0">
      <w:start w:val="1"/>
      <w:numFmt w:val="bullet"/>
      <w:lvlText w:val="o"/>
      <w:lvlJc w:val="left"/>
      <w:pPr>
        <w:ind w:left="3600" w:hanging="360"/>
      </w:pPr>
      <w:rPr>
        <w:rFonts w:hint="default" w:ascii="Courier New" w:hAnsi="Courier New"/>
      </w:rPr>
    </w:lvl>
    <w:lvl w:ilvl="5" w:tplc="53205956">
      <w:start w:val="1"/>
      <w:numFmt w:val="bullet"/>
      <w:lvlText w:val=""/>
      <w:lvlJc w:val="left"/>
      <w:pPr>
        <w:ind w:left="4320" w:hanging="360"/>
      </w:pPr>
      <w:rPr>
        <w:rFonts w:hint="default" w:ascii="Wingdings" w:hAnsi="Wingdings"/>
      </w:rPr>
    </w:lvl>
    <w:lvl w:ilvl="6" w:tplc="94B2187A">
      <w:start w:val="1"/>
      <w:numFmt w:val="bullet"/>
      <w:lvlText w:val=""/>
      <w:lvlJc w:val="left"/>
      <w:pPr>
        <w:ind w:left="5040" w:hanging="360"/>
      </w:pPr>
      <w:rPr>
        <w:rFonts w:hint="default" w:ascii="Symbol" w:hAnsi="Symbol"/>
      </w:rPr>
    </w:lvl>
    <w:lvl w:ilvl="7" w:tplc="41748BC2">
      <w:start w:val="1"/>
      <w:numFmt w:val="bullet"/>
      <w:lvlText w:val="o"/>
      <w:lvlJc w:val="left"/>
      <w:pPr>
        <w:ind w:left="5760" w:hanging="360"/>
      </w:pPr>
      <w:rPr>
        <w:rFonts w:hint="default" w:ascii="Courier New" w:hAnsi="Courier New"/>
      </w:rPr>
    </w:lvl>
    <w:lvl w:ilvl="8" w:tplc="2C2ACE22">
      <w:start w:val="1"/>
      <w:numFmt w:val="bullet"/>
      <w:lvlText w:val=""/>
      <w:lvlJc w:val="left"/>
      <w:pPr>
        <w:ind w:left="6480" w:hanging="360"/>
      </w:pPr>
      <w:rPr>
        <w:rFonts w:hint="default" w:ascii="Wingdings" w:hAnsi="Wingdings"/>
      </w:rPr>
    </w:lvl>
  </w:abstractNum>
  <w:abstractNum w:abstractNumId="3" w15:restartNumberingAfterBreak="0">
    <w:nsid w:val="4B46A681"/>
    <w:multiLevelType w:val="hybridMultilevel"/>
    <w:tmpl w:val="89DAE42A"/>
    <w:lvl w:ilvl="0" w:tplc="E4645BD6">
      <w:start w:val="1"/>
      <w:numFmt w:val="bullet"/>
      <w:lvlText w:val=""/>
      <w:lvlJc w:val="left"/>
      <w:pPr>
        <w:ind w:left="720" w:hanging="360"/>
      </w:pPr>
      <w:rPr>
        <w:rFonts w:hint="default" w:ascii="Symbol" w:hAnsi="Symbol"/>
      </w:rPr>
    </w:lvl>
    <w:lvl w:ilvl="1" w:tplc="B0902E90">
      <w:start w:val="1"/>
      <w:numFmt w:val="bullet"/>
      <w:lvlText w:val="o"/>
      <w:lvlJc w:val="left"/>
      <w:pPr>
        <w:ind w:left="1440" w:hanging="360"/>
      </w:pPr>
      <w:rPr>
        <w:rFonts w:hint="default" w:ascii="Courier New" w:hAnsi="Courier New"/>
      </w:rPr>
    </w:lvl>
    <w:lvl w:ilvl="2" w:tplc="B3CC05A6">
      <w:start w:val="1"/>
      <w:numFmt w:val="bullet"/>
      <w:lvlText w:val=""/>
      <w:lvlJc w:val="left"/>
      <w:pPr>
        <w:ind w:left="2160" w:hanging="360"/>
      </w:pPr>
      <w:rPr>
        <w:rFonts w:hint="default" w:ascii="Wingdings" w:hAnsi="Wingdings"/>
      </w:rPr>
    </w:lvl>
    <w:lvl w:ilvl="3" w:tplc="FBE2CCA8">
      <w:start w:val="1"/>
      <w:numFmt w:val="bullet"/>
      <w:lvlText w:val=""/>
      <w:lvlJc w:val="left"/>
      <w:pPr>
        <w:ind w:left="2880" w:hanging="360"/>
      </w:pPr>
      <w:rPr>
        <w:rFonts w:hint="default" w:ascii="Symbol" w:hAnsi="Symbol"/>
      </w:rPr>
    </w:lvl>
    <w:lvl w:ilvl="4" w:tplc="DA3015AC">
      <w:start w:val="1"/>
      <w:numFmt w:val="bullet"/>
      <w:lvlText w:val="o"/>
      <w:lvlJc w:val="left"/>
      <w:pPr>
        <w:ind w:left="3600" w:hanging="360"/>
      </w:pPr>
      <w:rPr>
        <w:rFonts w:hint="default" w:ascii="Courier New" w:hAnsi="Courier New"/>
      </w:rPr>
    </w:lvl>
    <w:lvl w:ilvl="5" w:tplc="A4DE80A0">
      <w:start w:val="1"/>
      <w:numFmt w:val="bullet"/>
      <w:lvlText w:val=""/>
      <w:lvlJc w:val="left"/>
      <w:pPr>
        <w:ind w:left="4320" w:hanging="360"/>
      </w:pPr>
      <w:rPr>
        <w:rFonts w:hint="default" w:ascii="Wingdings" w:hAnsi="Wingdings"/>
      </w:rPr>
    </w:lvl>
    <w:lvl w:ilvl="6" w:tplc="F712F324">
      <w:start w:val="1"/>
      <w:numFmt w:val="bullet"/>
      <w:lvlText w:val=""/>
      <w:lvlJc w:val="left"/>
      <w:pPr>
        <w:ind w:left="5040" w:hanging="360"/>
      </w:pPr>
      <w:rPr>
        <w:rFonts w:hint="default" w:ascii="Symbol" w:hAnsi="Symbol"/>
      </w:rPr>
    </w:lvl>
    <w:lvl w:ilvl="7" w:tplc="685866F2">
      <w:start w:val="1"/>
      <w:numFmt w:val="bullet"/>
      <w:lvlText w:val="o"/>
      <w:lvlJc w:val="left"/>
      <w:pPr>
        <w:ind w:left="5760" w:hanging="360"/>
      </w:pPr>
      <w:rPr>
        <w:rFonts w:hint="default" w:ascii="Courier New" w:hAnsi="Courier New"/>
      </w:rPr>
    </w:lvl>
    <w:lvl w:ilvl="8" w:tplc="C69E4166">
      <w:start w:val="1"/>
      <w:numFmt w:val="bullet"/>
      <w:lvlText w:val=""/>
      <w:lvlJc w:val="left"/>
      <w:pPr>
        <w:ind w:left="6480" w:hanging="360"/>
      </w:pPr>
      <w:rPr>
        <w:rFonts w:hint="default" w:ascii="Wingdings" w:hAnsi="Wingdings"/>
      </w:rPr>
    </w:lvl>
  </w:abstractNum>
  <w:abstractNum w:abstractNumId="4" w15:restartNumberingAfterBreak="0">
    <w:nsid w:val="676DD116"/>
    <w:multiLevelType w:val="hybridMultilevel"/>
    <w:tmpl w:val="2CDEAEF0"/>
    <w:lvl w:ilvl="0" w:tplc="B8A4E1B0">
      <w:start w:val="1"/>
      <w:numFmt w:val="lowerLetter"/>
      <w:lvlText w:val="%1."/>
      <w:lvlJc w:val="left"/>
      <w:pPr>
        <w:ind w:left="720" w:hanging="360"/>
      </w:pPr>
    </w:lvl>
    <w:lvl w:ilvl="1" w:tplc="DD0CCC3C">
      <w:start w:val="1"/>
      <w:numFmt w:val="lowerLetter"/>
      <w:lvlText w:val="%2."/>
      <w:lvlJc w:val="left"/>
      <w:pPr>
        <w:ind w:left="1440" w:hanging="360"/>
      </w:pPr>
    </w:lvl>
    <w:lvl w:ilvl="2" w:tplc="93B070AC">
      <w:start w:val="1"/>
      <w:numFmt w:val="lowerRoman"/>
      <w:lvlText w:val="%3."/>
      <w:lvlJc w:val="right"/>
      <w:pPr>
        <w:ind w:left="2160" w:hanging="180"/>
      </w:pPr>
    </w:lvl>
    <w:lvl w:ilvl="3" w:tplc="FD264196">
      <w:start w:val="1"/>
      <w:numFmt w:val="decimal"/>
      <w:lvlText w:val="%4."/>
      <w:lvlJc w:val="left"/>
      <w:pPr>
        <w:ind w:left="2880" w:hanging="360"/>
      </w:pPr>
    </w:lvl>
    <w:lvl w:ilvl="4" w:tplc="8FE6EABE">
      <w:start w:val="1"/>
      <w:numFmt w:val="lowerLetter"/>
      <w:lvlText w:val="%5."/>
      <w:lvlJc w:val="left"/>
      <w:pPr>
        <w:ind w:left="3600" w:hanging="360"/>
      </w:pPr>
    </w:lvl>
    <w:lvl w:ilvl="5" w:tplc="1E5E3F0C">
      <w:start w:val="1"/>
      <w:numFmt w:val="lowerRoman"/>
      <w:lvlText w:val="%6."/>
      <w:lvlJc w:val="right"/>
      <w:pPr>
        <w:ind w:left="4320" w:hanging="180"/>
      </w:pPr>
    </w:lvl>
    <w:lvl w:ilvl="6" w:tplc="0A7EFB08">
      <w:start w:val="1"/>
      <w:numFmt w:val="decimal"/>
      <w:lvlText w:val="%7."/>
      <w:lvlJc w:val="left"/>
      <w:pPr>
        <w:ind w:left="5040" w:hanging="360"/>
      </w:pPr>
    </w:lvl>
    <w:lvl w:ilvl="7" w:tplc="226CF4E4">
      <w:start w:val="1"/>
      <w:numFmt w:val="lowerLetter"/>
      <w:lvlText w:val="%8."/>
      <w:lvlJc w:val="left"/>
      <w:pPr>
        <w:ind w:left="5760" w:hanging="360"/>
      </w:pPr>
    </w:lvl>
    <w:lvl w:ilvl="8" w:tplc="7DBAB42E">
      <w:start w:val="1"/>
      <w:numFmt w:val="lowerRoman"/>
      <w:lvlText w:val="%9."/>
      <w:lvlJc w:val="right"/>
      <w:pPr>
        <w:ind w:left="6480" w:hanging="180"/>
      </w:pPr>
    </w:lvl>
  </w:abstractNum>
  <w:abstractNum w:abstractNumId="5" w15:restartNumberingAfterBreak="0">
    <w:nsid w:val="6943596F"/>
    <w:multiLevelType w:val="hybridMultilevel"/>
    <w:tmpl w:val="A7F6FD6A"/>
    <w:lvl w:ilvl="0" w:tplc="82F8E5A4">
      <w:start w:val="1"/>
      <w:numFmt w:val="bullet"/>
      <w:lvlText w:val=""/>
      <w:lvlJc w:val="left"/>
      <w:pPr>
        <w:ind w:left="720" w:hanging="360"/>
      </w:pPr>
      <w:rPr>
        <w:rFonts w:hint="default" w:ascii="Symbol" w:hAnsi="Symbol"/>
      </w:rPr>
    </w:lvl>
    <w:lvl w:ilvl="1" w:tplc="782487DA">
      <w:start w:val="1"/>
      <w:numFmt w:val="bullet"/>
      <w:lvlText w:val="o"/>
      <w:lvlJc w:val="left"/>
      <w:pPr>
        <w:ind w:left="1440" w:hanging="360"/>
      </w:pPr>
      <w:rPr>
        <w:rFonts w:hint="default" w:ascii="Courier New" w:hAnsi="Courier New"/>
      </w:rPr>
    </w:lvl>
    <w:lvl w:ilvl="2" w:tplc="2B8877F4">
      <w:start w:val="1"/>
      <w:numFmt w:val="bullet"/>
      <w:lvlText w:val=""/>
      <w:lvlJc w:val="left"/>
      <w:pPr>
        <w:ind w:left="2160" w:hanging="360"/>
      </w:pPr>
      <w:rPr>
        <w:rFonts w:hint="default" w:ascii="Wingdings" w:hAnsi="Wingdings"/>
      </w:rPr>
    </w:lvl>
    <w:lvl w:ilvl="3" w:tplc="2CAAE434">
      <w:start w:val="1"/>
      <w:numFmt w:val="bullet"/>
      <w:lvlText w:val=""/>
      <w:lvlJc w:val="left"/>
      <w:pPr>
        <w:ind w:left="2880" w:hanging="360"/>
      </w:pPr>
      <w:rPr>
        <w:rFonts w:hint="default" w:ascii="Symbol" w:hAnsi="Symbol"/>
      </w:rPr>
    </w:lvl>
    <w:lvl w:ilvl="4" w:tplc="298AE2C0">
      <w:start w:val="1"/>
      <w:numFmt w:val="bullet"/>
      <w:lvlText w:val="o"/>
      <w:lvlJc w:val="left"/>
      <w:pPr>
        <w:ind w:left="3600" w:hanging="360"/>
      </w:pPr>
      <w:rPr>
        <w:rFonts w:hint="default" w:ascii="Courier New" w:hAnsi="Courier New"/>
      </w:rPr>
    </w:lvl>
    <w:lvl w:ilvl="5" w:tplc="848EC012">
      <w:start w:val="1"/>
      <w:numFmt w:val="bullet"/>
      <w:lvlText w:val=""/>
      <w:lvlJc w:val="left"/>
      <w:pPr>
        <w:ind w:left="4320" w:hanging="360"/>
      </w:pPr>
      <w:rPr>
        <w:rFonts w:hint="default" w:ascii="Wingdings" w:hAnsi="Wingdings"/>
      </w:rPr>
    </w:lvl>
    <w:lvl w:ilvl="6" w:tplc="FEACA3BE">
      <w:start w:val="1"/>
      <w:numFmt w:val="bullet"/>
      <w:lvlText w:val=""/>
      <w:lvlJc w:val="left"/>
      <w:pPr>
        <w:ind w:left="5040" w:hanging="360"/>
      </w:pPr>
      <w:rPr>
        <w:rFonts w:hint="default" w:ascii="Symbol" w:hAnsi="Symbol"/>
      </w:rPr>
    </w:lvl>
    <w:lvl w:ilvl="7" w:tplc="2A8A6728">
      <w:start w:val="1"/>
      <w:numFmt w:val="bullet"/>
      <w:lvlText w:val="o"/>
      <w:lvlJc w:val="left"/>
      <w:pPr>
        <w:ind w:left="5760" w:hanging="360"/>
      </w:pPr>
      <w:rPr>
        <w:rFonts w:hint="default" w:ascii="Courier New" w:hAnsi="Courier New"/>
      </w:rPr>
    </w:lvl>
    <w:lvl w:ilvl="8" w:tplc="08120000">
      <w:start w:val="1"/>
      <w:numFmt w:val="bullet"/>
      <w:lvlText w:val=""/>
      <w:lvlJc w:val="left"/>
      <w:pPr>
        <w:ind w:left="6480" w:hanging="360"/>
      </w:pPr>
      <w:rPr>
        <w:rFonts w:hint="default" w:ascii="Wingdings" w:hAnsi="Wingdings"/>
      </w:rPr>
    </w:lvl>
  </w:abstractNum>
  <w:abstractNum w:abstractNumId="6" w15:restartNumberingAfterBreak="0">
    <w:nsid w:val="6C39EDF4"/>
    <w:multiLevelType w:val="hybridMultilevel"/>
    <w:tmpl w:val="134A7B02"/>
    <w:lvl w:ilvl="0" w:tplc="A2147430">
      <w:start w:val="1"/>
      <w:numFmt w:val="bullet"/>
      <w:lvlText w:val="·"/>
      <w:lvlJc w:val="left"/>
      <w:pPr>
        <w:ind w:left="720" w:hanging="360"/>
      </w:pPr>
      <w:rPr>
        <w:rFonts w:hint="default" w:ascii="Symbol" w:hAnsi="Symbol"/>
      </w:rPr>
    </w:lvl>
    <w:lvl w:ilvl="1" w:tplc="E162260C">
      <w:start w:val="1"/>
      <w:numFmt w:val="bullet"/>
      <w:lvlText w:val="o"/>
      <w:lvlJc w:val="left"/>
      <w:pPr>
        <w:ind w:left="1440" w:hanging="360"/>
      </w:pPr>
      <w:rPr>
        <w:rFonts w:hint="default" w:ascii="Courier New" w:hAnsi="Courier New"/>
      </w:rPr>
    </w:lvl>
    <w:lvl w:ilvl="2" w:tplc="20C0F20C">
      <w:start w:val="1"/>
      <w:numFmt w:val="bullet"/>
      <w:lvlText w:val=""/>
      <w:lvlJc w:val="left"/>
      <w:pPr>
        <w:ind w:left="2160" w:hanging="360"/>
      </w:pPr>
      <w:rPr>
        <w:rFonts w:hint="default" w:ascii="Wingdings" w:hAnsi="Wingdings"/>
      </w:rPr>
    </w:lvl>
    <w:lvl w:ilvl="3" w:tplc="7BE8114E">
      <w:start w:val="1"/>
      <w:numFmt w:val="bullet"/>
      <w:lvlText w:val=""/>
      <w:lvlJc w:val="left"/>
      <w:pPr>
        <w:ind w:left="2880" w:hanging="360"/>
      </w:pPr>
      <w:rPr>
        <w:rFonts w:hint="default" w:ascii="Symbol" w:hAnsi="Symbol"/>
      </w:rPr>
    </w:lvl>
    <w:lvl w:ilvl="4" w:tplc="289074C6">
      <w:start w:val="1"/>
      <w:numFmt w:val="bullet"/>
      <w:lvlText w:val="o"/>
      <w:lvlJc w:val="left"/>
      <w:pPr>
        <w:ind w:left="3600" w:hanging="360"/>
      </w:pPr>
      <w:rPr>
        <w:rFonts w:hint="default" w:ascii="Courier New" w:hAnsi="Courier New"/>
      </w:rPr>
    </w:lvl>
    <w:lvl w:ilvl="5" w:tplc="490CA848">
      <w:start w:val="1"/>
      <w:numFmt w:val="bullet"/>
      <w:lvlText w:val=""/>
      <w:lvlJc w:val="left"/>
      <w:pPr>
        <w:ind w:left="4320" w:hanging="360"/>
      </w:pPr>
      <w:rPr>
        <w:rFonts w:hint="default" w:ascii="Wingdings" w:hAnsi="Wingdings"/>
      </w:rPr>
    </w:lvl>
    <w:lvl w:ilvl="6" w:tplc="61600BD0">
      <w:start w:val="1"/>
      <w:numFmt w:val="bullet"/>
      <w:lvlText w:val=""/>
      <w:lvlJc w:val="left"/>
      <w:pPr>
        <w:ind w:left="5040" w:hanging="360"/>
      </w:pPr>
      <w:rPr>
        <w:rFonts w:hint="default" w:ascii="Symbol" w:hAnsi="Symbol"/>
      </w:rPr>
    </w:lvl>
    <w:lvl w:ilvl="7" w:tplc="8E8C39CC">
      <w:start w:val="1"/>
      <w:numFmt w:val="bullet"/>
      <w:lvlText w:val="o"/>
      <w:lvlJc w:val="left"/>
      <w:pPr>
        <w:ind w:left="5760" w:hanging="360"/>
      </w:pPr>
      <w:rPr>
        <w:rFonts w:hint="default" w:ascii="Courier New" w:hAnsi="Courier New"/>
      </w:rPr>
    </w:lvl>
    <w:lvl w:ilvl="8" w:tplc="ADD8E95A">
      <w:start w:val="1"/>
      <w:numFmt w:val="bullet"/>
      <w:lvlText w:val=""/>
      <w:lvlJc w:val="left"/>
      <w:pPr>
        <w:ind w:left="6480" w:hanging="360"/>
      </w:pPr>
      <w:rPr>
        <w:rFonts w:hint="default" w:ascii="Wingdings" w:hAnsi="Wingdings"/>
      </w:rPr>
    </w:lvl>
  </w:abstractNum>
  <w:abstractNum w:abstractNumId="7" w15:restartNumberingAfterBreak="0">
    <w:nsid w:val="6C928CA5"/>
    <w:multiLevelType w:val="hybridMultilevel"/>
    <w:tmpl w:val="FFFFFFFF"/>
    <w:lvl w:ilvl="0" w:tplc="137E1148">
      <w:start w:val="1"/>
      <w:numFmt w:val="bullet"/>
      <w:lvlText w:val=""/>
      <w:lvlJc w:val="left"/>
      <w:pPr>
        <w:ind w:left="720" w:hanging="360"/>
      </w:pPr>
      <w:rPr>
        <w:rFonts w:hint="default" w:ascii="Symbol" w:hAnsi="Symbol"/>
      </w:rPr>
    </w:lvl>
    <w:lvl w:ilvl="1" w:tplc="3BBE5522">
      <w:start w:val="1"/>
      <w:numFmt w:val="bullet"/>
      <w:lvlText w:val="o"/>
      <w:lvlJc w:val="left"/>
      <w:pPr>
        <w:ind w:left="1440" w:hanging="360"/>
      </w:pPr>
      <w:rPr>
        <w:rFonts w:hint="default" w:ascii="Courier New" w:hAnsi="Courier New"/>
      </w:rPr>
    </w:lvl>
    <w:lvl w:ilvl="2" w:tplc="4C9C73E6">
      <w:start w:val="1"/>
      <w:numFmt w:val="bullet"/>
      <w:lvlText w:val=""/>
      <w:lvlJc w:val="left"/>
      <w:pPr>
        <w:ind w:left="2160" w:hanging="360"/>
      </w:pPr>
      <w:rPr>
        <w:rFonts w:hint="default" w:ascii="Wingdings" w:hAnsi="Wingdings"/>
      </w:rPr>
    </w:lvl>
    <w:lvl w:ilvl="3" w:tplc="99BA0B1A">
      <w:start w:val="1"/>
      <w:numFmt w:val="bullet"/>
      <w:lvlText w:val=""/>
      <w:lvlJc w:val="left"/>
      <w:pPr>
        <w:ind w:left="2880" w:hanging="360"/>
      </w:pPr>
      <w:rPr>
        <w:rFonts w:hint="default" w:ascii="Symbol" w:hAnsi="Symbol"/>
      </w:rPr>
    </w:lvl>
    <w:lvl w:ilvl="4" w:tplc="21E6D99E">
      <w:start w:val="1"/>
      <w:numFmt w:val="bullet"/>
      <w:lvlText w:val="o"/>
      <w:lvlJc w:val="left"/>
      <w:pPr>
        <w:ind w:left="3600" w:hanging="360"/>
      </w:pPr>
      <w:rPr>
        <w:rFonts w:hint="default" w:ascii="Courier New" w:hAnsi="Courier New"/>
      </w:rPr>
    </w:lvl>
    <w:lvl w:ilvl="5" w:tplc="36AE1C5C">
      <w:start w:val="1"/>
      <w:numFmt w:val="bullet"/>
      <w:lvlText w:val=""/>
      <w:lvlJc w:val="left"/>
      <w:pPr>
        <w:ind w:left="4320" w:hanging="360"/>
      </w:pPr>
      <w:rPr>
        <w:rFonts w:hint="default" w:ascii="Wingdings" w:hAnsi="Wingdings"/>
      </w:rPr>
    </w:lvl>
    <w:lvl w:ilvl="6" w:tplc="6E38E528">
      <w:start w:val="1"/>
      <w:numFmt w:val="bullet"/>
      <w:lvlText w:val=""/>
      <w:lvlJc w:val="left"/>
      <w:pPr>
        <w:ind w:left="5040" w:hanging="360"/>
      </w:pPr>
      <w:rPr>
        <w:rFonts w:hint="default" w:ascii="Symbol" w:hAnsi="Symbol"/>
      </w:rPr>
    </w:lvl>
    <w:lvl w:ilvl="7" w:tplc="B3206120">
      <w:start w:val="1"/>
      <w:numFmt w:val="bullet"/>
      <w:lvlText w:val="o"/>
      <w:lvlJc w:val="left"/>
      <w:pPr>
        <w:ind w:left="5760" w:hanging="360"/>
      </w:pPr>
      <w:rPr>
        <w:rFonts w:hint="default" w:ascii="Courier New" w:hAnsi="Courier New"/>
      </w:rPr>
    </w:lvl>
    <w:lvl w:ilvl="8" w:tplc="A66AE4AC">
      <w:start w:val="1"/>
      <w:numFmt w:val="bullet"/>
      <w:lvlText w:val=""/>
      <w:lvlJc w:val="left"/>
      <w:pPr>
        <w:ind w:left="6480" w:hanging="360"/>
      </w:pPr>
      <w:rPr>
        <w:rFonts w:hint="default" w:ascii="Wingdings" w:hAnsi="Wingdings"/>
      </w:rPr>
    </w:lvl>
  </w:abstractNum>
  <w:abstractNum w:abstractNumId="8" w15:restartNumberingAfterBreak="0">
    <w:nsid w:val="6FA17152"/>
    <w:multiLevelType w:val="hybridMultilevel"/>
    <w:tmpl w:val="A46EB8D2"/>
    <w:lvl w:ilvl="0" w:tplc="D0A036F4">
      <w:start w:val="1"/>
      <w:numFmt w:val="bullet"/>
      <w:lvlText w:val=""/>
      <w:lvlJc w:val="left"/>
      <w:pPr>
        <w:ind w:left="720" w:hanging="360"/>
      </w:pPr>
      <w:rPr>
        <w:rFonts w:hint="default" w:ascii="Symbol" w:hAnsi="Symbol"/>
      </w:rPr>
    </w:lvl>
    <w:lvl w:ilvl="1" w:tplc="AA82ED7E">
      <w:start w:val="1"/>
      <w:numFmt w:val="bullet"/>
      <w:lvlText w:val="o"/>
      <w:lvlJc w:val="left"/>
      <w:pPr>
        <w:ind w:left="1440" w:hanging="360"/>
      </w:pPr>
      <w:rPr>
        <w:rFonts w:hint="default" w:ascii="Courier New" w:hAnsi="Courier New"/>
      </w:rPr>
    </w:lvl>
    <w:lvl w:ilvl="2" w:tplc="BEE86280">
      <w:start w:val="1"/>
      <w:numFmt w:val="bullet"/>
      <w:lvlText w:val=""/>
      <w:lvlJc w:val="left"/>
      <w:pPr>
        <w:ind w:left="2160" w:hanging="360"/>
      </w:pPr>
      <w:rPr>
        <w:rFonts w:hint="default" w:ascii="Wingdings" w:hAnsi="Wingdings"/>
      </w:rPr>
    </w:lvl>
    <w:lvl w:ilvl="3" w:tplc="333606E8">
      <w:start w:val="1"/>
      <w:numFmt w:val="bullet"/>
      <w:lvlText w:val=""/>
      <w:lvlJc w:val="left"/>
      <w:pPr>
        <w:ind w:left="2880" w:hanging="360"/>
      </w:pPr>
      <w:rPr>
        <w:rFonts w:hint="default" w:ascii="Symbol" w:hAnsi="Symbol"/>
      </w:rPr>
    </w:lvl>
    <w:lvl w:ilvl="4" w:tplc="3C0C24E2">
      <w:start w:val="1"/>
      <w:numFmt w:val="bullet"/>
      <w:lvlText w:val="o"/>
      <w:lvlJc w:val="left"/>
      <w:pPr>
        <w:ind w:left="3600" w:hanging="360"/>
      </w:pPr>
      <w:rPr>
        <w:rFonts w:hint="default" w:ascii="Courier New" w:hAnsi="Courier New"/>
      </w:rPr>
    </w:lvl>
    <w:lvl w:ilvl="5" w:tplc="5EF099F8">
      <w:start w:val="1"/>
      <w:numFmt w:val="bullet"/>
      <w:lvlText w:val=""/>
      <w:lvlJc w:val="left"/>
      <w:pPr>
        <w:ind w:left="4320" w:hanging="360"/>
      </w:pPr>
      <w:rPr>
        <w:rFonts w:hint="default" w:ascii="Wingdings" w:hAnsi="Wingdings"/>
      </w:rPr>
    </w:lvl>
    <w:lvl w:ilvl="6" w:tplc="3476E494">
      <w:start w:val="1"/>
      <w:numFmt w:val="bullet"/>
      <w:lvlText w:val=""/>
      <w:lvlJc w:val="left"/>
      <w:pPr>
        <w:ind w:left="5040" w:hanging="360"/>
      </w:pPr>
      <w:rPr>
        <w:rFonts w:hint="default" w:ascii="Symbol" w:hAnsi="Symbol"/>
      </w:rPr>
    </w:lvl>
    <w:lvl w:ilvl="7" w:tplc="BEA07C56">
      <w:start w:val="1"/>
      <w:numFmt w:val="bullet"/>
      <w:lvlText w:val="o"/>
      <w:lvlJc w:val="left"/>
      <w:pPr>
        <w:ind w:left="5760" w:hanging="360"/>
      </w:pPr>
      <w:rPr>
        <w:rFonts w:hint="default" w:ascii="Courier New" w:hAnsi="Courier New"/>
      </w:rPr>
    </w:lvl>
    <w:lvl w:ilvl="8" w:tplc="6F9A0568">
      <w:start w:val="1"/>
      <w:numFmt w:val="bullet"/>
      <w:lvlText w:val=""/>
      <w:lvlJc w:val="left"/>
      <w:pPr>
        <w:ind w:left="6480" w:hanging="360"/>
      </w:pPr>
      <w:rPr>
        <w:rFonts w:hint="default" w:ascii="Wingdings" w:hAnsi="Wingdings"/>
      </w:rPr>
    </w:lvl>
  </w:abstractNum>
  <w:num w:numId="10">
    <w:abstractNumId w:val="9"/>
  </w:num>
  <w:num w:numId="1" w16cid:durableId="1307587280">
    <w:abstractNumId w:val="7"/>
  </w:num>
  <w:num w:numId="2" w16cid:durableId="372508731">
    <w:abstractNumId w:val="2"/>
  </w:num>
  <w:num w:numId="3" w16cid:durableId="1670254428">
    <w:abstractNumId w:val="5"/>
  </w:num>
  <w:num w:numId="4" w16cid:durableId="127094040">
    <w:abstractNumId w:val="0"/>
  </w:num>
  <w:num w:numId="5" w16cid:durableId="744838871">
    <w:abstractNumId w:val="3"/>
  </w:num>
  <w:num w:numId="6" w16cid:durableId="2041974476">
    <w:abstractNumId w:val="8"/>
  </w:num>
  <w:num w:numId="7" w16cid:durableId="1019543656">
    <w:abstractNumId w:val="1"/>
  </w:num>
  <w:num w:numId="8" w16cid:durableId="1356080607">
    <w:abstractNumId w:val="6"/>
  </w:num>
  <w:num w:numId="9" w16cid:durableId="1103232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6BC"/>
    <w:rsid w:val="00007705"/>
    <w:rsid w:val="000109DD"/>
    <w:rsid w:val="000121F7"/>
    <w:rsid w:val="000411A1"/>
    <w:rsid w:val="00043A4D"/>
    <w:rsid w:val="000453CA"/>
    <w:rsid w:val="000453E8"/>
    <w:rsid w:val="0004603E"/>
    <w:rsid w:val="000460E9"/>
    <w:rsid w:val="0005553A"/>
    <w:rsid w:val="00056E16"/>
    <w:rsid w:val="000706FC"/>
    <w:rsid w:val="00071CEB"/>
    <w:rsid w:val="0007290C"/>
    <w:rsid w:val="00073F5A"/>
    <w:rsid w:val="00080BAB"/>
    <w:rsid w:val="000815FB"/>
    <w:rsid w:val="000A1DA1"/>
    <w:rsid w:val="000B3436"/>
    <w:rsid w:val="000B61CA"/>
    <w:rsid w:val="000C10AE"/>
    <w:rsid w:val="000D08FF"/>
    <w:rsid w:val="000D702D"/>
    <w:rsid w:val="00103495"/>
    <w:rsid w:val="001067A9"/>
    <w:rsid w:val="001318DC"/>
    <w:rsid w:val="00131A17"/>
    <w:rsid w:val="00157B8E"/>
    <w:rsid w:val="00162551"/>
    <w:rsid w:val="0016353D"/>
    <w:rsid w:val="00173EE1"/>
    <w:rsid w:val="00174DDE"/>
    <w:rsid w:val="00177765"/>
    <w:rsid w:val="0018372E"/>
    <w:rsid w:val="00183863"/>
    <w:rsid w:val="0018787F"/>
    <w:rsid w:val="001A4DF7"/>
    <w:rsid w:val="001A5C13"/>
    <w:rsid w:val="001B03EE"/>
    <w:rsid w:val="001B7E90"/>
    <w:rsid w:val="001C2864"/>
    <w:rsid w:val="001C4F3F"/>
    <w:rsid w:val="001D11C4"/>
    <w:rsid w:val="001D6D03"/>
    <w:rsid w:val="001D797B"/>
    <w:rsid w:val="001F1F98"/>
    <w:rsid w:val="001F3615"/>
    <w:rsid w:val="00205CF6"/>
    <w:rsid w:val="00211FD9"/>
    <w:rsid w:val="00221E1E"/>
    <w:rsid w:val="0022290E"/>
    <w:rsid w:val="00225AD5"/>
    <w:rsid w:val="002260BF"/>
    <w:rsid w:val="002266B4"/>
    <w:rsid w:val="00232774"/>
    <w:rsid w:val="002407D4"/>
    <w:rsid w:val="00241D4A"/>
    <w:rsid w:val="00245EF4"/>
    <w:rsid w:val="0025016E"/>
    <w:rsid w:val="00256D15"/>
    <w:rsid w:val="00266719"/>
    <w:rsid w:val="00266A61"/>
    <w:rsid w:val="00272209"/>
    <w:rsid w:val="00274305"/>
    <w:rsid w:val="00283782"/>
    <w:rsid w:val="0028444F"/>
    <w:rsid w:val="00284450"/>
    <w:rsid w:val="00293760"/>
    <w:rsid w:val="002A6BC1"/>
    <w:rsid w:val="002C5E28"/>
    <w:rsid w:val="002D1E69"/>
    <w:rsid w:val="002F1E83"/>
    <w:rsid w:val="002F3FED"/>
    <w:rsid w:val="00302826"/>
    <w:rsid w:val="00311FC5"/>
    <w:rsid w:val="00317EAC"/>
    <w:rsid w:val="00331A8B"/>
    <w:rsid w:val="003371CD"/>
    <w:rsid w:val="00345042"/>
    <w:rsid w:val="0036208F"/>
    <w:rsid w:val="0036603D"/>
    <w:rsid w:val="00380DC3"/>
    <w:rsid w:val="00387027"/>
    <w:rsid w:val="0039265E"/>
    <w:rsid w:val="003945B9"/>
    <w:rsid w:val="003952AB"/>
    <w:rsid w:val="003A485E"/>
    <w:rsid w:val="003B209B"/>
    <w:rsid w:val="003C074F"/>
    <w:rsid w:val="003C3815"/>
    <w:rsid w:val="003D24B5"/>
    <w:rsid w:val="003D6886"/>
    <w:rsid w:val="003E28F7"/>
    <w:rsid w:val="0040144A"/>
    <w:rsid w:val="00403D3D"/>
    <w:rsid w:val="00407E57"/>
    <w:rsid w:val="00411BBF"/>
    <w:rsid w:val="00417480"/>
    <w:rsid w:val="004256BA"/>
    <w:rsid w:val="004310C5"/>
    <w:rsid w:val="0043275C"/>
    <w:rsid w:val="004338F7"/>
    <w:rsid w:val="004527C1"/>
    <w:rsid w:val="004600AE"/>
    <w:rsid w:val="00462975"/>
    <w:rsid w:val="00465E55"/>
    <w:rsid w:val="0047103F"/>
    <w:rsid w:val="00474285"/>
    <w:rsid w:val="00480AA8"/>
    <w:rsid w:val="004908EC"/>
    <w:rsid w:val="00497D6B"/>
    <w:rsid w:val="004A2C7F"/>
    <w:rsid w:val="004A335F"/>
    <w:rsid w:val="004A40C5"/>
    <w:rsid w:val="004A4215"/>
    <w:rsid w:val="004A4729"/>
    <w:rsid w:val="004C402E"/>
    <w:rsid w:val="004C504A"/>
    <w:rsid w:val="004C68E4"/>
    <w:rsid w:val="004C7F90"/>
    <w:rsid w:val="004D45C3"/>
    <w:rsid w:val="004E538B"/>
    <w:rsid w:val="004F46B3"/>
    <w:rsid w:val="005077DA"/>
    <w:rsid w:val="00513190"/>
    <w:rsid w:val="00534BAA"/>
    <w:rsid w:val="00536AAD"/>
    <w:rsid w:val="005425A2"/>
    <w:rsid w:val="00545386"/>
    <w:rsid w:val="00550D90"/>
    <w:rsid w:val="00551FF6"/>
    <w:rsid w:val="00557380"/>
    <w:rsid w:val="00562254"/>
    <w:rsid w:val="00562885"/>
    <w:rsid w:val="005644AD"/>
    <w:rsid w:val="0057524B"/>
    <w:rsid w:val="00583511"/>
    <w:rsid w:val="005855E7"/>
    <w:rsid w:val="00593E62"/>
    <w:rsid w:val="0059641A"/>
    <w:rsid w:val="00597DB1"/>
    <w:rsid w:val="005A2404"/>
    <w:rsid w:val="005B68A0"/>
    <w:rsid w:val="005C27C0"/>
    <w:rsid w:val="005D7E8A"/>
    <w:rsid w:val="005E79DE"/>
    <w:rsid w:val="006046AB"/>
    <w:rsid w:val="00612668"/>
    <w:rsid w:val="0061672A"/>
    <w:rsid w:val="00617B6D"/>
    <w:rsid w:val="00624D8D"/>
    <w:rsid w:val="00641EB2"/>
    <w:rsid w:val="00651161"/>
    <w:rsid w:val="00655450"/>
    <w:rsid w:val="00664F19"/>
    <w:rsid w:val="006763D6"/>
    <w:rsid w:val="00676AA8"/>
    <w:rsid w:val="00676C32"/>
    <w:rsid w:val="00677F87"/>
    <w:rsid w:val="0068007E"/>
    <w:rsid w:val="00690CE2"/>
    <w:rsid w:val="006939EB"/>
    <w:rsid w:val="006962FD"/>
    <w:rsid w:val="006A3293"/>
    <w:rsid w:val="006A5814"/>
    <w:rsid w:val="006B0030"/>
    <w:rsid w:val="006C4891"/>
    <w:rsid w:val="006C6299"/>
    <w:rsid w:val="006E01CA"/>
    <w:rsid w:val="006F377B"/>
    <w:rsid w:val="006F4B80"/>
    <w:rsid w:val="006F653F"/>
    <w:rsid w:val="006F7BA5"/>
    <w:rsid w:val="007132C4"/>
    <w:rsid w:val="007207EA"/>
    <w:rsid w:val="00752956"/>
    <w:rsid w:val="007548D1"/>
    <w:rsid w:val="00761263"/>
    <w:rsid w:val="00761349"/>
    <w:rsid w:val="00762373"/>
    <w:rsid w:val="0076387E"/>
    <w:rsid w:val="00773AB9"/>
    <w:rsid w:val="0078353E"/>
    <w:rsid w:val="0078484E"/>
    <w:rsid w:val="007A283F"/>
    <w:rsid w:val="007A3F9C"/>
    <w:rsid w:val="007B2E43"/>
    <w:rsid w:val="007B3905"/>
    <w:rsid w:val="007D03E9"/>
    <w:rsid w:val="007D2174"/>
    <w:rsid w:val="007D2549"/>
    <w:rsid w:val="007E5FDB"/>
    <w:rsid w:val="007E60F5"/>
    <w:rsid w:val="007E6AAA"/>
    <w:rsid w:val="007F17E9"/>
    <w:rsid w:val="008104D0"/>
    <w:rsid w:val="00820C54"/>
    <w:rsid w:val="008258C6"/>
    <w:rsid w:val="00832415"/>
    <w:rsid w:val="00837A6C"/>
    <w:rsid w:val="0084026A"/>
    <w:rsid w:val="00844BC5"/>
    <w:rsid w:val="0089420A"/>
    <w:rsid w:val="008A2431"/>
    <w:rsid w:val="008A4948"/>
    <w:rsid w:val="008B2C4F"/>
    <w:rsid w:val="008B4719"/>
    <w:rsid w:val="008E64C7"/>
    <w:rsid w:val="008F25FE"/>
    <w:rsid w:val="008F77B8"/>
    <w:rsid w:val="009050F1"/>
    <w:rsid w:val="00911691"/>
    <w:rsid w:val="0092374A"/>
    <w:rsid w:val="009267AD"/>
    <w:rsid w:val="00931468"/>
    <w:rsid w:val="009355BB"/>
    <w:rsid w:val="009474B6"/>
    <w:rsid w:val="00947AB8"/>
    <w:rsid w:val="00953666"/>
    <w:rsid w:val="00954FDF"/>
    <w:rsid w:val="00957384"/>
    <w:rsid w:val="00976360"/>
    <w:rsid w:val="00977D9A"/>
    <w:rsid w:val="009806BC"/>
    <w:rsid w:val="00983A82"/>
    <w:rsid w:val="009958EC"/>
    <w:rsid w:val="009A23ED"/>
    <w:rsid w:val="009A7919"/>
    <w:rsid w:val="009B6ED1"/>
    <w:rsid w:val="009C0463"/>
    <w:rsid w:val="009D008F"/>
    <w:rsid w:val="009E6D6B"/>
    <w:rsid w:val="009F3E1A"/>
    <w:rsid w:val="00A02376"/>
    <w:rsid w:val="00A03D27"/>
    <w:rsid w:val="00A0508E"/>
    <w:rsid w:val="00A059E7"/>
    <w:rsid w:val="00A11B62"/>
    <w:rsid w:val="00A14FDC"/>
    <w:rsid w:val="00A27F1F"/>
    <w:rsid w:val="00A30BCF"/>
    <w:rsid w:val="00A35BDF"/>
    <w:rsid w:val="00A36F0B"/>
    <w:rsid w:val="00A3703B"/>
    <w:rsid w:val="00A40328"/>
    <w:rsid w:val="00A47DC5"/>
    <w:rsid w:val="00A518CE"/>
    <w:rsid w:val="00A520F6"/>
    <w:rsid w:val="00A66591"/>
    <w:rsid w:val="00A75A17"/>
    <w:rsid w:val="00A81326"/>
    <w:rsid w:val="00A81CFA"/>
    <w:rsid w:val="00A83B75"/>
    <w:rsid w:val="00A85659"/>
    <w:rsid w:val="00A92F4D"/>
    <w:rsid w:val="00AA6F42"/>
    <w:rsid w:val="00AC57EC"/>
    <w:rsid w:val="00AC5A89"/>
    <w:rsid w:val="00AD2180"/>
    <w:rsid w:val="00AE3F20"/>
    <w:rsid w:val="00AF4E7C"/>
    <w:rsid w:val="00AF5F0E"/>
    <w:rsid w:val="00B05F0F"/>
    <w:rsid w:val="00B06EAA"/>
    <w:rsid w:val="00B119BB"/>
    <w:rsid w:val="00B12029"/>
    <w:rsid w:val="00B12393"/>
    <w:rsid w:val="00B2532C"/>
    <w:rsid w:val="00B364C3"/>
    <w:rsid w:val="00B379B8"/>
    <w:rsid w:val="00B61B0B"/>
    <w:rsid w:val="00B63909"/>
    <w:rsid w:val="00B65787"/>
    <w:rsid w:val="00B66BAC"/>
    <w:rsid w:val="00B66DD8"/>
    <w:rsid w:val="00B9664F"/>
    <w:rsid w:val="00BD2154"/>
    <w:rsid w:val="00BD45DB"/>
    <w:rsid w:val="00BD6B64"/>
    <w:rsid w:val="00BE175B"/>
    <w:rsid w:val="00BF5DE8"/>
    <w:rsid w:val="00C10FA3"/>
    <w:rsid w:val="00C22CB7"/>
    <w:rsid w:val="00C35DFB"/>
    <w:rsid w:val="00C40E3C"/>
    <w:rsid w:val="00C65074"/>
    <w:rsid w:val="00C732FF"/>
    <w:rsid w:val="00C76E91"/>
    <w:rsid w:val="00C84C36"/>
    <w:rsid w:val="00C854E0"/>
    <w:rsid w:val="00C9477B"/>
    <w:rsid w:val="00CA1E32"/>
    <w:rsid w:val="00CA3CE4"/>
    <w:rsid w:val="00CA79AE"/>
    <w:rsid w:val="00CC7115"/>
    <w:rsid w:val="00CE4021"/>
    <w:rsid w:val="00CF5BD5"/>
    <w:rsid w:val="00CF7D6A"/>
    <w:rsid w:val="00CF7E10"/>
    <w:rsid w:val="00D016C5"/>
    <w:rsid w:val="00D15CEC"/>
    <w:rsid w:val="00D15D51"/>
    <w:rsid w:val="00D237A3"/>
    <w:rsid w:val="00D35A3B"/>
    <w:rsid w:val="00D36335"/>
    <w:rsid w:val="00D4080D"/>
    <w:rsid w:val="00D52D3E"/>
    <w:rsid w:val="00D5555D"/>
    <w:rsid w:val="00D64760"/>
    <w:rsid w:val="00D76934"/>
    <w:rsid w:val="00D82AE4"/>
    <w:rsid w:val="00D90B1F"/>
    <w:rsid w:val="00D94CDC"/>
    <w:rsid w:val="00DA559F"/>
    <w:rsid w:val="00DC0CA2"/>
    <w:rsid w:val="00DD2CD4"/>
    <w:rsid w:val="00DF0D4F"/>
    <w:rsid w:val="00E00E4D"/>
    <w:rsid w:val="00E017D8"/>
    <w:rsid w:val="00E031A4"/>
    <w:rsid w:val="00E155B0"/>
    <w:rsid w:val="00E15BFE"/>
    <w:rsid w:val="00E20C0A"/>
    <w:rsid w:val="00E30A15"/>
    <w:rsid w:val="00E30CA9"/>
    <w:rsid w:val="00E3588A"/>
    <w:rsid w:val="00E4347B"/>
    <w:rsid w:val="00E4555E"/>
    <w:rsid w:val="00E51AC5"/>
    <w:rsid w:val="00E52F45"/>
    <w:rsid w:val="00E719DB"/>
    <w:rsid w:val="00E735AD"/>
    <w:rsid w:val="00E74F09"/>
    <w:rsid w:val="00E82492"/>
    <w:rsid w:val="00E82A27"/>
    <w:rsid w:val="00E9155F"/>
    <w:rsid w:val="00EB0AF0"/>
    <w:rsid w:val="00EB5C40"/>
    <w:rsid w:val="00EC1D13"/>
    <w:rsid w:val="00EC4E27"/>
    <w:rsid w:val="00ED03DA"/>
    <w:rsid w:val="00ED108C"/>
    <w:rsid w:val="00ED2D72"/>
    <w:rsid w:val="00EE0CD7"/>
    <w:rsid w:val="00EE3E6B"/>
    <w:rsid w:val="00EE709E"/>
    <w:rsid w:val="00EF171E"/>
    <w:rsid w:val="00F06C0C"/>
    <w:rsid w:val="00F1277E"/>
    <w:rsid w:val="00F12BCF"/>
    <w:rsid w:val="00F15F41"/>
    <w:rsid w:val="00F24FE4"/>
    <w:rsid w:val="00F27485"/>
    <w:rsid w:val="00F30E9B"/>
    <w:rsid w:val="00F40926"/>
    <w:rsid w:val="00F61CC6"/>
    <w:rsid w:val="00F70137"/>
    <w:rsid w:val="00F8196C"/>
    <w:rsid w:val="00F85629"/>
    <w:rsid w:val="00F85653"/>
    <w:rsid w:val="00F92A42"/>
    <w:rsid w:val="00F96B6F"/>
    <w:rsid w:val="00FC202C"/>
    <w:rsid w:val="00FC2DE7"/>
    <w:rsid w:val="00FC5B9A"/>
    <w:rsid w:val="00FE1C7B"/>
    <w:rsid w:val="00FF0E03"/>
    <w:rsid w:val="00FF495B"/>
    <w:rsid w:val="00FF5797"/>
    <w:rsid w:val="017BE751"/>
    <w:rsid w:val="01DBC89B"/>
    <w:rsid w:val="01E5517B"/>
    <w:rsid w:val="03C0806E"/>
    <w:rsid w:val="04692EF3"/>
    <w:rsid w:val="0540FD58"/>
    <w:rsid w:val="0631FC8D"/>
    <w:rsid w:val="06A6D99D"/>
    <w:rsid w:val="095E732D"/>
    <w:rsid w:val="0A319CDD"/>
    <w:rsid w:val="0C8F0CFE"/>
    <w:rsid w:val="0FCBEF43"/>
    <w:rsid w:val="112EC448"/>
    <w:rsid w:val="184C4933"/>
    <w:rsid w:val="193CD28B"/>
    <w:rsid w:val="19C0E0C8"/>
    <w:rsid w:val="19FAAD58"/>
    <w:rsid w:val="1A8450F4"/>
    <w:rsid w:val="1AB8E316"/>
    <w:rsid w:val="1BD1DB46"/>
    <w:rsid w:val="1D82630A"/>
    <w:rsid w:val="20C522A4"/>
    <w:rsid w:val="21337052"/>
    <w:rsid w:val="228DB719"/>
    <w:rsid w:val="235DF6E4"/>
    <w:rsid w:val="243250AD"/>
    <w:rsid w:val="24E143DD"/>
    <w:rsid w:val="25238A36"/>
    <w:rsid w:val="252E3983"/>
    <w:rsid w:val="27E85193"/>
    <w:rsid w:val="2A093BD1"/>
    <w:rsid w:val="2A4494DC"/>
    <w:rsid w:val="2B9FEBC9"/>
    <w:rsid w:val="2E4E16BC"/>
    <w:rsid w:val="2E70CECD"/>
    <w:rsid w:val="2F4D72E7"/>
    <w:rsid w:val="30471E69"/>
    <w:rsid w:val="31233255"/>
    <w:rsid w:val="31BB7A1B"/>
    <w:rsid w:val="33240C25"/>
    <w:rsid w:val="37CBDA57"/>
    <w:rsid w:val="39094E5C"/>
    <w:rsid w:val="397E563E"/>
    <w:rsid w:val="3A5B46AD"/>
    <w:rsid w:val="3A8B0860"/>
    <w:rsid w:val="3B7816E6"/>
    <w:rsid w:val="3DCBE95D"/>
    <w:rsid w:val="3E43D007"/>
    <w:rsid w:val="3E6E4C84"/>
    <w:rsid w:val="3F1D5C54"/>
    <w:rsid w:val="425D8054"/>
    <w:rsid w:val="426DC31B"/>
    <w:rsid w:val="428A76E6"/>
    <w:rsid w:val="4291E621"/>
    <w:rsid w:val="4333C76A"/>
    <w:rsid w:val="45377BA5"/>
    <w:rsid w:val="458489BA"/>
    <w:rsid w:val="4733538A"/>
    <w:rsid w:val="4767D666"/>
    <w:rsid w:val="47AF154C"/>
    <w:rsid w:val="47F09179"/>
    <w:rsid w:val="48E2B2E4"/>
    <w:rsid w:val="4ABCC5A6"/>
    <w:rsid w:val="4BC08D20"/>
    <w:rsid w:val="4E243E5F"/>
    <w:rsid w:val="5035CF4F"/>
    <w:rsid w:val="5093E719"/>
    <w:rsid w:val="5108EB84"/>
    <w:rsid w:val="52873A47"/>
    <w:rsid w:val="53E14822"/>
    <w:rsid w:val="56CE2D87"/>
    <w:rsid w:val="57A52E76"/>
    <w:rsid w:val="59FD6E49"/>
    <w:rsid w:val="5B19947E"/>
    <w:rsid w:val="5BBC053B"/>
    <w:rsid w:val="5CD9C50B"/>
    <w:rsid w:val="5D3BE20F"/>
    <w:rsid w:val="61C33438"/>
    <w:rsid w:val="622A89A8"/>
    <w:rsid w:val="636EEBE3"/>
    <w:rsid w:val="63E8BD17"/>
    <w:rsid w:val="6471803B"/>
    <w:rsid w:val="649DDA92"/>
    <w:rsid w:val="66FA93CD"/>
    <w:rsid w:val="6961D0C9"/>
    <w:rsid w:val="6B608225"/>
    <w:rsid w:val="6CAFD1B3"/>
    <w:rsid w:val="6CDF97ED"/>
    <w:rsid w:val="6D7B886E"/>
    <w:rsid w:val="6D890BF3"/>
    <w:rsid w:val="70F0F022"/>
    <w:rsid w:val="713D7393"/>
    <w:rsid w:val="73BF418B"/>
    <w:rsid w:val="759F7BA5"/>
    <w:rsid w:val="76506F06"/>
    <w:rsid w:val="76DF9D83"/>
    <w:rsid w:val="77519AD0"/>
    <w:rsid w:val="7A42F794"/>
    <w:rsid w:val="7CD83DBC"/>
    <w:rsid w:val="7D28A0A3"/>
    <w:rsid w:val="7F9BCAF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EF29DF3"/>
  <w15:chartTrackingRefBased/>
  <w15:docId w15:val="{1CCBD4D4-152B-42A0-A946-4ACB80F8F8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9806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806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806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06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06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06B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06B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06B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06BC"/>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9806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9806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9806BC"/>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9806BC"/>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9806BC"/>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9806BC"/>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9806BC"/>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9806BC"/>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9806BC"/>
    <w:rPr>
      <w:rFonts w:eastAsiaTheme="majorEastAsia" w:cstheme="majorBidi"/>
      <w:color w:val="272727" w:themeColor="text1" w:themeTint="D8"/>
    </w:rPr>
  </w:style>
  <w:style w:type="paragraph" w:styleId="Title">
    <w:name w:val="Title"/>
    <w:basedOn w:val="Normal"/>
    <w:next w:val="Normal"/>
    <w:link w:val="TitleChar"/>
    <w:uiPriority w:val="10"/>
    <w:qFormat/>
    <w:rsid w:val="009806BC"/>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9806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9806BC"/>
    <w:pPr>
      <w:numPr>
        <w:ilvl w:val="1"/>
      </w:numPr>
      <w:spacing w:after="160"/>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9806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06BC"/>
    <w:pPr>
      <w:spacing w:before="160" w:after="160"/>
      <w:jc w:val="center"/>
    </w:pPr>
    <w:rPr>
      <w:i/>
      <w:iCs/>
      <w:color w:val="404040" w:themeColor="text1" w:themeTint="BF"/>
    </w:rPr>
  </w:style>
  <w:style w:type="character" w:styleId="QuoteChar" w:customStyle="1">
    <w:name w:val="Quote Char"/>
    <w:basedOn w:val="DefaultParagraphFont"/>
    <w:link w:val="Quote"/>
    <w:uiPriority w:val="29"/>
    <w:rsid w:val="009806BC"/>
    <w:rPr>
      <w:i/>
      <w:iCs/>
      <w:color w:val="404040" w:themeColor="text1" w:themeTint="BF"/>
    </w:rPr>
  </w:style>
  <w:style w:type="paragraph" w:styleId="ListParagraph">
    <w:name w:val="List Paragraph"/>
    <w:basedOn w:val="Normal"/>
    <w:uiPriority w:val="34"/>
    <w:qFormat/>
    <w:rsid w:val="009806BC"/>
    <w:pPr>
      <w:ind w:left="720"/>
      <w:contextualSpacing/>
    </w:pPr>
  </w:style>
  <w:style w:type="character" w:styleId="IntenseEmphasis">
    <w:name w:val="Intense Emphasis"/>
    <w:basedOn w:val="DefaultParagraphFont"/>
    <w:uiPriority w:val="21"/>
    <w:qFormat/>
    <w:rsid w:val="009806BC"/>
    <w:rPr>
      <w:i/>
      <w:iCs/>
      <w:color w:val="0F4761" w:themeColor="accent1" w:themeShade="BF"/>
    </w:rPr>
  </w:style>
  <w:style w:type="paragraph" w:styleId="IntenseQuote">
    <w:name w:val="Intense Quote"/>
    <w:basedOn w:val="Normal"/>
    <w:next w:val="Normal"/>
    <w:link w:val="IntenseQuoteChar"/>
    <w:uiPriority w:val="30"/>
    <w:qFormat/>
    <w:rsid w:val="009806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9806BC"/>
    <w:rPr>
      <w:i/>
      <w:iCs/>
      <w:color w:val="0F4761" w:themeColor="accent1" w:themeShade="BF"/>
    </w:rPr>
  </w:style>
  <w:style w:type="character" w:styleId="IntenseReference">
    <w:name w:val="Intense Reference"/>
    <w:basedOn w:val="DefaultParagraphFont"/>
    <w:uiPriority w:val="32"/>
    <w:qFormat/>
    <w:rsid w:val="009806BC"/>
    <w:rPr>
      <w:b/>
      <w:bCs/>
      <w:smallCaps/>
      <w:color w:val="0F4761" w:themeColor="accent1" w:themeShade="BF"/>
      <w:spacing w:val="5"/>
    </w:rPr>
  </w:style>
  <w:style w:type="paragraph" w:styleId="Header">
    <w:name w:val="header"/>
    <w:basedOn w:val="Normal"/>
    <w:link w:val="HeaderChar"/>
    <w:uiPriority w:val="99"/>
    <w:unhideWhenUsed/>
    <w:rsid w:val="009806BC"/>
    <w:pPr>
      <w:tabs>
        <w:tab w:val="center" w:pos="4680"/>
        <w:tab w:val="right" w:pos="9360"/>
      </w:tabs>
    </w:pPr>
  </w:style>
  <w:style w:type="character" w:styleId="HeaderChar" w:customStyle="1">
    <w:name w:val="Header Char"/>
    <w:basedOn w:val="DefaultParagraphFont"/>
    <w:link w:val="Header"/>
    <w:uiPriority w:val="99"/>
    <w:rsid w:val="009806BC"/>
  </w:style>
  <w:style w:type="paragraph" w:styleId="Footer">
    <w:name w:val="footer"/>
    <w:basedOn w:val="Normal"/>
    <w:link w:val="FooterChar"/>
    <w:uiPriority w:val="99"/>
    <w:unhideWhenUsed/>
    <w:rsid w:val="009806BC"/>
    <w:pPr>
      <w:tabs>
        <w:tab w:val="center" w:pos="4680"/>
        <w:tab w:val="right" w:pos="9360"/>
      </w:tabs>
    </w:pPr>
  </w:style>
  <w:style w:type="character" w:styleId="FooterChar" w:customStyle="1">
    <w:name w:val="Footer Char"/>
    <w:basedOn w:val="DefaultParagraphFont"/>
    <w:link w:val="Footer"/>
    <w:uiPriority w:val="99"/>
    <w:rsid w:val="009806BC"/>
  </w:style>
  <w:style w:type="character" w:styleId="PageNumber">
    <w:name w:val="page number"/>
    <w:basedOn w:val="DefaultParagraphFont"/>
    <w:uiPriority w:val="99"/>
    <w:semiHidden/>
    <w:unhideWhenUsed/>
    <w:rsid w:val="009806BC"/>
  </w:style>
  <w:style w:type="character" w:styleId="CommentReference">
    <w:name w:val="annotation reference"/>
    <w:basedOn w:val="DefaultParagraphFont"/>
    <w:uiPriority w:val="99"/>
    <w:semiHidden/>
    <w:unhideWhenUsed/>
    <w:rsid w:val="00F27485"/>
    <w:rPr>
      <w:sz w:val="16"/>
      <w:szCs w:val="16"/>
    </w:rPr>
  </w:style>
  <w:style w:type="paragraph" w:styleId="CommentText">
    <w:name w:val="annotation text"/>
    <w:basedOn w:val="Normal"/>
    <w:link w:val="CommentTextChar"/>
    <w:uiPriority w:val="99"/>
    <w:unhideWhenUsed/>
    <w:rsid w:val="00F27485"/>
    <w:rPr>
      <w:sz w:val="20"/>
      <w:szCs w:val="20"/>
    </w:rPr>
  </w:style>
  <w:style w:type="character" w:styleId="CommentTextChar" w:customStyle="1">
    <w:name w:val="Comment Text Char"/>
    <w:basedOn w:val="DefaultParagraphFont"/>
    <w:link w:val="CommentText"/>
    <w:uiPriority w:val="99"/>
    <w:rsid w:val="00F27485"/>
    <w:rPr>
      <w:sz w:val="20"/>
      <w:szCs w:val="20"/>
    </w:rPr>
  </w:style>
  <w:style w:type="paragraph" w:styleId="CommentSubject">
    <w:name w:val="annotation subject"/>
    <w:basedOn w:val="CommentText"/>
    <w:next w:val="CommentText"/>
    <w:link w:val="CommentSubjectChar"/>
    <w:uiPriority w:val="99"/>
    <w:semiHidden/>
    <w:unhideWhenUsed/>
    <w:rsid w:val="00F27485"/>
    <w:rPr>
      <w:b/>
      <w:bCs/>
    </w:rPr>
  </w:style>
  <w:style w:type="character" w:styleId="CommentSubjectChar" w:customStyle="1">
    <w:name w:val="Comment Subject Char"/>
    <w:basedOn w:val="CommentTextChar"/>
    <w:link w:val="CommentSubject"/>
    <w:uiPriority w:val="99"/>
    <w:semiHidden/>
    <w:rsid w:val="00F27485"/>
    <w:rPr>
      <w:b/>
      <w:bCs/>
      <w:sz w:val="20"/>
      <w:szCs w:val="20"/>
    </w:rPr>
  </w:style>
  <w:style w:type="character" w:styleId="Hyperlink">
    <w:name w:val="Hyperlink"/>
    <w:basedOn w:val="DefaultParagraphFont"/>
    <w:uiPriority w:val="99"/>
    <w:unhideWhenUsed/>
    <w:rsid w:val="0057524B"/>
    <w:rPr>
      <w:color w:val="467886" w:themeColor="hyperlink"/>
      <w:u w:val="single"/>
    </w:rPr>
  </w:style>
  <w:style w:type="character" w:styleId="UnresolvedMention">
    <w:name w:val="Unresolved Mention"/>
    <w:basedOn w:val="DefaultParagraphFont"/>
    <w:uiPriority w:val="99"/>
    <w:semiHidden/>
    <w:unhideWhenUsed/>
    <w:rsid w:val="0057524B"/>
    <w:rPr>
      <w:color w:val="605E5C"/>
      <w:shd w:val="clear" w:color="auto" w:fill="E1DFDD"/>
    </w:rPr>
  </w:style>
  <w:style w:type="character" w:styleId="FollowedHyperlink">
    <w:name w:val="FollowedHyperlink"/>
    <w:basedOn w:val="DefaultParagraphFont"/>
    <w:uiPriority w:val="99"/>
    <w:semiHidden/>
    <w:unhideWhenUsed/>
    <w:rsid w:val="004F46B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25766916">
      <w:bodyDiv w:val="1"/>
      <w:marLeft w:val="0"/>
      <w:marRight w:val="0"/>
      <w:marTop w:val="0"/>
      <w:marBottom w:val="0"/>
      <w:divBdr>
        <w:top w:val="none" w:sz="0" w:space="0" w:color="auto"/>
        <w:left w:val="none" w:sz="0" w:space="0" w:color="auto"/>
        <w:bottom w:val="none" w:sz="0" w:space="0" w:color="auto"/>
        <w:right w:val="none" w:sz="0" w:space="0" w:color="auto"/>
      </w:divBdr>
      <w:divsChild>
        <w:div w:id="47534213">
          <w:marLeft w:val="0"/>
          <w:marRight w:val="0"/>
          <w:marTop w:val="0"/>
          <w:marBottom w:val="0"/>
          <w:divBdr>
            <w:top w:val="none" w:sz="0" w:space="0" w:color="auto"/>
            <w:left w:val="none" w:sz="0" w:space="0" w:color="auto"/>
            <w:bottom w:val="none" w:sz="0" w:space="0" w:color="auto"/>
            <w:right w:val="none" w:sz="0" w:space="0" w:color="auto"/>
          </w:divBdr>
        </w:div>
        <w:div w:id="101994439">
          <w:marLeft w:val="0"/>
          <w:marRight w:val="0"/>
          <w:marTop w:val="0"/>
          <w:marBottom w:val="0"/>
          <w:divBdr>
            <w:top w:val="none" w:sz="0" w:space="0" w:color="auto"/>
            <w:left w:val="none" w:sz="0" w:space="0" w:color="auto"/>
            <w:bottom w:val="none" w:sz="0" w:space="0" w:color="auto"/>
            <w:right w:val="none" w:sz="0" w:space="0" w:color="auto"/>
          </w:divBdr>
        </w:div>
        <w:div w:id="135757543">
          <w:marLeft w:val="0"/>
          <w:marRight w:val="0"/>
          <w:marTop w:val="0"/>
          <w:marBottom w:val="0"/>
          <w:divBdr>
            <w:top w:val="none" w:sz="0" w:space="0" w:color="auto"/>
            <w:left w:val="none" w:sz="0" w:space="0" w:color="auto"/>
            <w:bottom w:val="none" w:sz="0" w:space="0" w:color="auto"/>
            <w:right w:val="none" w:sz="0" w:space="0" w:color="auto"/>
          </w:divBdr>
        </w:div>
        <w:div w:id="348263884">
          <w:marLeft w:val="0"/>
          <w:marRight w:val="0"/>
          <w:marTop w:val="0"/>
          <w:marBottom w:val="0"/>
          <w:divBdr>
            <w:top w:val="none" w:sz="0" w:space="0" w:color="auto"/>
            <w:left w:val="none" w:sz="0" w:space="0" w:color="auto"/>
            <w:bottom w:val="none" w:sz="0" w:space="0" w:color="auto"/>
            <w:right w:val="none" w:sz="0" w:space="0" w:color="auto"/>
          </w:divBdr>
        </w:div>
        <w:div w:id="1227911655">
          <w:marLeft w:val="0"/>
          <w:marRight w:val="0"/>
          <w:marTop w:val="0"/>
          <w:marBottom w:val="0"/>
          <w:divBdr>
            <w:top w:val="none" w:sz="0" w:space="0" w:color="auto"/>
            <w:left w:val="none" w:sz="0" w:space="0" w:color="auto"/>
            <w:bottom w:val="none" w:sz="0" w:space="0" w:color="auto"/>
            <w:right w:val="none" w:sz="0" w:space="0" w:color="auto"/>
          </w:divBdr>
        </w:div>
        <w:div w:id="1372223967">
          <w:marLeft w:val="0"/>
          <w:marRight w:val="0"/>
          <w:marTop w:val="0"/>
          <w:marBottom w:val="0"/>
          <w:divBdr>
            <w:top w:val="none" w:sz="0" w:space="0" w:color="auto"/>
            <w:left w:val="none" w:sz="0" w:space="0" w:color="auto"/>
            <w:bottom w:val="none" w:sz="0" w:space="0" w:color="auto"/>
            <w:right w:val="none" w:sz="0" w:space="0" w:color="auto"/>
          </w:divBdr>
        </w:div>
        <w:div w:id="1396857107">
          <w:marLeft w:val="0"/>
          <w:marRight w:val="0"/>
          <w:marTop w:val="0"/>
          <w:marBottom w:val="0"/>
          <w:divBdr>
            <w:top w:val="none" w:sz="0" w:space="0" w:color="auto"/>
            <w:left w:val="none" w:sz="0" w:space="0" w:color="auto"/>
            <w:bottom w:val="none" w:sz="0" w:space="0" w:color="auto"/>
            <w:right w:val="none" w:sz="0" w:space="0" w:color="auto"/>
          </w:divBdr>
        </w:div>
      </w:divsChild>
    </w:div>
    <w:div w:id="1465856328">
      <w:bodyDiv w:val="1"/>
      <w:marLeft w:val="0"/>
      <w:marRight w:val="0"/>
      <w:marTop w:val="0"/>
      <w:marBottom w:val="0"/>
      <w:divBdr>
        <w:top w:val="none" w:sz="0" w:space="0" w:color="auto"/>
        <w:left w:val="none" w:sz="0" w:space="0" w:color="auto"/>
        <w:bottom w:val="none" w:sz="0" w:space="0" w:color="auto"/>
        <w:right w:val="none" w:sz="0" w:space="0" w:color="auto"/>
      </w:divBdr>
    </w:div>
    <w:div w:id="1712145292">
      <w:bodyDiv w:val="1"/>
      <w:marLeft w:val="0"/>
      <w:marRight w:val="0"/>
      <w:marTop w:val="0"/>
      <w:marBottom w:val="0"/>
      <w:divBdr>
        <w:top w:val="none" w:sz="0" w:space="0" w:color="auto"/>
        <w:left w:val="none" w:sz="0" w:space="0" w:color="auto"/>
        <w:bottom w:val="none" w:sz="0" w:space="0" w:color="auto"/>
        <w:right w:val="none" w:sz="0" w:space="0" w:color="auto"/>
      </w:divBdr>
    </w:div>
    <w:div w:id="1985550186">
      <w:bodyDiv w:val="1"/>
      <w:marLeft w:val="0"/>
      <w:marRight w:val="0"/>
      <w:marTop w:val="0"/>
      <w:marBottom w:val="0"/>
      <w:divBdr>
        <w:top w:val="none" w:sz="0" w:space="0" w:color="auto"/>
        <w:left w:val="none" w:sz="0" w:space="0" w:color="auto"/>
        <w:bottom w:val="none" w:sz="0" w:space="0" w:color="auto"/>
        <w:right w:val="none" w:sz="0" w:space="0" w:color="auto"/>
      </w:divBdr>
      <w:divsChild>
        <w:div w:id="413891424">
          <w:marLeft w:val="0"/>
          <w:marRight w:val="0"/>
          <w:marTop w:val="0"/>
          <w:marBottom w:val="0"/>
          <w:divBdr>
            <w:top w:val="none" w:sz="0" w:space="0" w:color="auto"/>
            <w:left w:val="none" w:sz="0" w:space="0" w:color="auto"/>
            <w:bottom w:val="none" w:sz="0" w:space="0" w:color="auto"/>
            <w:right w:val="none" w:sz="0" w:space="0" w:color="auto"/>
          </w:divBdr>
        </w:div>
        <w:div w:id="629820283">
          <w:marLeft w:val="0"/>
          <w:marRight w:val="0"/>
          <w:marTop w:val="0"/>
          <w:marBottom w:val="0"/>
          <w:divBdr>
            <w:top w:val="none" w:sz="0" w:space="0" w:color="auto"/>
            <w:left w:val="none" w:sz="0" w:space="0" w:color="auto"/>
            <w:bottom w:val="none" w:sz="0" w:space="0" w:color="auto"/>
            <w:right w:val="none" w:sz="0" w:space="0" w:color="auto"/>
          </w:divBdr>
        </w:div>
        <w:div w:id="816533522">
          <w:marLeft w:val="0"/>
          <w:marRight w:val="0"/>
          <w:marTop w:val="0"/>
          <w:marBottom w:val="0"/>
          <w:divBdr>
            <w:top w:val="none" w:sz="0" w:space="0" w:color="auto"/>
            <w:left w:val="none" w:sz="0" w:space="0" w:color="auto"/>
            <w:bottom w:val="none" w:sz="0" w:space="0" w:color="auto"/>
            <w:right w:val="none" w:sz="0" w:space="0" w:color="auto"/>
          </w:divBdr>
        </w:div>
        <w:div w:id="1006319943">
          <w:marLeft w:val="0"/>
          <w:marRight w:val="0"/>
          <w:marTop w:val="0"/>
          <w:marBottom w:val="0"/>
          <w:divBdr>
            <w:top w:val="none" w:sz="0" w:space="0" w:color="auto"/>
            <w:left w:val="none" w:sz="0" w:space="0" w:color="auto"/>
            <w:bottom w:val="none" w:sz="0" w:space="0" w:color="auto"/>
            <w:right w:val="none" w:sz="0" w:space="0" w:color="auto"/>
          </w:divBdr>
        </w:div>
        <w:div w:id="1458600966">
          <w:marLeft w:val="0"/>
          <w:marRight w:val="0"/>
          <w:marTop w:val="0"/>
          <w:marBottom w:val="0"/>
          <w:divBdr>
            <w:top w:val="none" w:sz="0" w:space="0" w:color="auto"/>
            <w:left w:val="none" w:sz="0" w:space="0" w:color="auto"/>
            <w:bottom w:val="none" w:sz="0" w:space="0" w:color="auto"/>
            <w:right w:val="none" w:sz="0" w:space="0" w:color="auto"/>
          </w:divBdr>
        </w:div>
        <w:div w:id="1557161652">
          <w:marLeft w:val="0"/>
          <w:marRight w:val="0"/>
          <w:marTop w:val="0"/>
          <w:marBottom w:val="0"/>
          <w:divBdr>
            <w:top w:val="none" w:sz="0" w:space="0" w:color="auto"/>
            <w:left w:val="none" w:sz="0" w:space="0" w:color="auto"/>
            <w:bottom w:val="none" w:sz="0" w:space="0" w:color="auto"/>
            <w:right w:val="none" w:sz="0" w:space="0" w:color="auto"/>
          </w:divBdr>
        </w:div>
        <w:div w:id="18748798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header" Target="header2.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hyperlink" Target="https://news.microsoft.com/en-hk/2022/05/16/create-positive-impact-on-both-wellbeing" TargetMode="External" Id="Rdf3d322f665d4905" /><Relationship Type="http://schemas.openxmlformats.org/officeDocument/2006/relationships/hyperlink" Target="https://www.meltwater.com/en/blog/14-proven-pr-kpis-that-matter-and-how-to-track-them" TargetMode="External" Id="R9aadc5cc6dda44e6" /><Relationship Type="http://schemas.openxmlformats.org/officeDocument/2006/relationships/hyperlink" Target="https://www.prsa.org/" TargetMode="External" Id="R0866bfe0614149c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Everett Harris</dc:creator>
  <keywords/>
  <dc:description/>
  <lastModifiedBy>Guest User</lastModifiedBy>
  <revision>58</revision>
  <dcterms:created xsi:type="dcterms:W3CDTF">2024-11-16T07:23:00.0000000Z</dcterms:created>
  <dcterms:modified xsi:type="dcterms:W3CDTF">2024-11-18T04:49:09.6931095Z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b4a9fb3b824391c586d9f215fec0b8156cead0dce38201e46d6ecfafb32761aa</vt:lpwstr>
  </property>
</Properties>
</file>